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41AE" w:rsidRDefault="0046491C" w:rsidP="003A41AE">
      <w:pPr>
        <w:spacing w:after="0" w:line="360" w:lineRule="auto"/>
        <w:jc w:val="both"/>
        <w:rPr>
          <w:rFonts w:ascii="Palatino Linotype" w:hAnsi="Palatino Linotype" w:cs="Arial"/>
          <w:b/>
          <w:sz w:val="24"/>
          <w:szCs w:val="24"/>
        </w:rPr>
      </w:pPr>
      <w:r w:rsidRPr="00C27EF9">
        <w:rPr>
          <w:rFonts w:ascii="Palatino Linotype" w:hAnsi="Palatino Linotype" w:cs="Arial"/>
          <w:b/>
          <w:sz w:val="24"/>
          <w:szCs w:val="24"/>
        </w:rPr>
        <w:t>VOTO PARTICULAR DEL COMISIONADO JOSÉ GUADA</w:t>
      </w:r>
      <w:r w:rsidR="006B36D1" w:rsidRPr="00C27EF9">
        <w:rPr>
          <w:rFonts w:ascii="Palatino Linotype" w:hAnsi="Palatino Linotype" w:cs="Arial"/>
          <w:b/>
          <w:sz w:val="24"/>
          <w:szCs w:val="24"/>
        </w:rPr>
        <w:t>LUPE LUNA HERNÁNDEZ EN EL</w:t>
      </w:r>
      <w:r w:rsidR="00D72985" w:rsidRPr="00C27EF9">
        <w:rPr>
          <w:rFonts w:ascii="Palatino Linotype" w:hAnsi="Palatino Linotype" w:cs="Arial"/>
          <w:b/>
          <w:sz w:val="24"/>
          <w:szCs w:val="24"/>
        </w:rPr>
        <w:t xml:space="preserve"> RECURSO</w:t>
      </w:r>
      <w:r w:rsidR="00BF3534" w:rsidRPr="00C27EF9">
        <w:rPr>
          <w:rFonts w:ascii="Palatino Linotype" w:hAnsi="Palatino Linotype" w:cs="Arial"/>
          <w:b/>
          <w:sz w:val="24"/>
          <w:szCs w:val="24"/>
        </w:rPr>
        <w:t xml:space="preserve"> DE REVISIÓN </w:t>
      </w:r>
      <w:r w:rsidR="007B22FF">
        <w:rPr>
          <w:rFonts w:ascii="Palatino Linotype" w:hAnsi="Palatino Linotype" w:cs="Arial"/>
          <w:b/>
          <w:sz w:val="24"/>
          <w:szCs w:val="24"/>
        </w:rPr>
        <w:t>0</w:t>
      </w:r>
      <w:r w:rsidR="00E6104E">
        <w:rPr>
          <w:rFonts w:ascii="Palatino Linotype" w:hAnsi="Palatino Linotype" w:cs="Arial"/>
          <w:b/>
          <w:sz w:val="24"/>
          <w:szCs w:val="24"/>
        </w:rPr>
        <w:t>3986</w:t>
      </w:r>
      <w:r w:rsidR="007E2CF8" w:rsidRPr="00C27EF9">
        <w:rPr>
          <w:rFonts w:ascii="Palatino Linotype" w:hAnsi="Palatino Linotype" w:cs="Arial"/>
          <w:b/>
          <w:sz w:val="24"/>
          <w:szCs w:val="24"/>
        </w:rPr>
        <w:t>/INFOEM/IP/RR/2018</w:t>
      </w:r>
      <w:r w:rsidR="007B22FF">
        <w:rPr>
          <w:rFonts w:ascii="Palatino Linotype" w:hAnsi="Palatino Linotype" w:cs="Arial"/>
          <w:b/>
          <w:sz w:val="24"/>
          <w:szCs w:val="24"/>
        </w:rPr>
        <w:t xml:space="preserve"> y acu</w:t>
      </w:r>
      <w:r w:rsidR="00E6104E">
        <w:rPr>
          <w:rFonts w:ascii="Palatino Linotype" w:hAnsi="Palatino Linotype" w:cs="Arial"/>
          <w:b/>
          <w:sz w:val="24"/>
          <w:szCs w:val="24"/>
        </w:rPr>
        <w:t>mulado</w:t>
      </w:r>
      <w:r w:rsidR="0000525F" w:rsidRPr="00C27EF9">
        <w:rPr>
          <w:rFonts w:ascii="Palatino Linotype" w:hAnsi="Palatino Linotype" w:cs="Arial"/>
          <w:b/>
          <w:sz w:val="24"/>
          <w:szCs w:val="24"/>
        </w:rPr>
        <w:t>.</w:t>
      </w:r>
    </w:p>
    <w:p w:rsidR="003A41AE" w:rsidRDefault="003A41AE" w:rsidP="003A41AE">
      <w:pPr>
        <w:spacing w:after="0" w:line="360" w:lineRule="auto"/>
        <w:jc w:val="both"/>
        <w:rPr>
          <w:rFonts w:ascii="Palatino Linotype" w:hAnsi="Palatino Linotype" w:cs="Arial"/>
          <w:b/>
          <w:sz w:val="24"/>
          <w:szCs w:val="24"/>
        </w:rPr>
      </w:pPr>
    </w:p>
    <w:p w:rsidR="007B22FF" w:rsidRPr="00C27EF9" w:rsidRDefault="002921DD" w:rsidP="003A41AE">
      <w:pPr>
        <w:spacing w:after="0" w:line="360" w:lineRule="auto"/>
        <w:jc w:val="center"/>
        <w:rPr>
          <w:rFonts w:ascii="Palatino Linotype" w:hAnsi="Palatino Linotype" w:cs="Arial"/>
          <w:b/>
          <w:sz w:val="24"/>
          <w:szCs w:val="24"/>
        </w:rPr>
      </w:pPr>
      <w:r w:rsidRPr="00C27EF9">
        <w:rPr>
          <w:rFonts w:ascii="Palatino Linotype" w:hAnsi="Palatino Linotype" w:cs="Arial"/>
          <w:b/>
          <w:sz w:val="24"/>
          <w:szCs w:val="24"/>
        </w:rPr>
        <w:t>LÍNEAS ARGUMENTATIVAS</w:t>
      </w:r>
    </w:p>
    <w:p w:rsidR="0046491C" w:rsidRPr="00C27EF9" w:rsidRDefault="0046491C" w:rsidP="003A41AE">
      <w:pPr>
        <w:spacing w:after="0" w:line="312" w:lineRule="auto"/>
        <w:jc w:val="both"/>
        <w:rPr>
          <w:rFonts w:ascii="Palatino Linotype" w:hAnsi="Palatino Linotype" w:cs="Arial"/>
          <w:sz w:val="24"/>
          <w:szCs w:val="24"/>
        </w:rPr>
      </w:pPr>
      <w:r w:rsidRPr="00C27EF9">
        <w:rPr>
          <w:rFonts w:ascii="Palatino Linotype" w:hAnsi="Palatino Linotype" w:cs="Arial"/>
          <w:sz w:val="24"/>
          <w:szCs w:val="24"/>
        </w:rPr>
        <w:t>La falta de impugnación respecto al resto de los requerimientos que no fueron manifestados en el recurso de revisión, no debe</w:t>
      </w:r>
      <w:r w:rsidR="002921DD" w:rsidRPr="00C27EF9">
        <w:rPr>
          <w:rFonts w:ascii="Palatino Linotype" w:hAnsi="Palatino Linotype" w:cs="Arial"/>
          <w:sz w:val="24"/>
          <w:szCs w:val="24"/>
        </w:rPr>
        <w:t>n</w:t>
      </w:r>
      <w:r w:rsidRPr="00C27EF9">
        <w:rPr>
          <w:rFonts w:ascii="Palatino Linotype" w:hAnsi="Palatino Linotype" w:cs="Arial"/>
          <w:sz w:val="24"/>
          <w:szCs w:val="24"/>
        </w:rPr>
        <w:t xml:space="preserve"> entenderse como actos consentidos.</w:t>
      </w:r>
    </w:p>
    <w:p w:rsidR="00902248" w:rsidRPr="00C27EF9" w:rsidRDefault="00902248" w:rsidP="003A41AE">
      <w:pPr>
        <w:spacing w:after="0" w:line="312" w:lineRule="auto"/>
        <w:jc w:val="both"/>
        <w:rPr>
          <w:rFonts w:ascii="Palatino Linotype" w:hAnsi="Palatino Linotype" w:cs="Arial"/>
          <w:sz w:val="24"/>
          <w:szCs w:val="24"/>
        </w:rPr>
      </w:pPr>
    </w:p>
    <w:p w:rsidR="0046491C" w:rsidRPr="00C27EF9" w:rsidRDefault="0046491C" w:rsidP="003A41AE">
      <w:pPr>
        <w:spacing w:after="0" w:line="312" w:lineRule="auto"/>
        <w:jc w:val="both"/>
        <w:rPr>
          <w:rFonts w:ascii="Palatino Linotype" w:hAnsi="Palatino Linotype" w:cs="Arial"/>
          <w:sz w:val="24"/>
          <w:szCs w:val="24"/>
        </w:rPr>
      </w:pPr>
      <w:r w:rsidRPr="00C27EF9">
        <w:rPr>
          <w:rFonts w:ascii="Palatino Linotype" w:hAnsi="Palatino Linotype" w:cs="Arial"/>
          <w:sz w:val="24"/>
          <w:szCs w:val="24"/>
        </w:rPr>
        <w:t>La figura de actos consentidos no debe ser invocada en el derecho humano fundamental de acceder a la información pública gubernamental.</w:t>
      </w:r>
    </w:p>
    <w:p w:rsidR="0001046D" w:rsidRPr="00C27EF9" w:rsidRDefault="0001046D" w:rsidP="003A41AE">
      <w:pPr>
        <w:spacing w:after="0" w:line="312" w:lineRule="auto"/>
        <w:jc w:val="both"/>
        <w:rPr>
          <w:rFonts w:ascii="Palatino Linotype" w:hAnsi="Palatino Linotype" w:cs="Arial"/>
          <w:sz w:val="24"/>
          <w:szCs w:val="24"/>
        </w:rPr>
      </w:pPr>
    </w:p>
    <w:p w:rsidR="0046491C" w:rsidRPr="00C27EF9" w:rsidRDefault="0046491C" w:rsidP="003A41AE">
      <w:pPr>
        <w:spacing w:after="0" w:line="312" w:lineRule="auto"/>
        <w:jc w:val="both"/>
        <w:rPr>
          <w:rFonts w:ascii="Palatino Linotype" w:hAnsi="Palatino Linotype" w:cs="Arial"/>
          <w:sz w:val="24"/>
          <w:szCs w:val="24"/>
        </w:rPr>
      </w:pPr>
      <w:r w:rsidRPr="00C27EF9">
        <w:rPr>
          <w:rFonts w:ascii="Palatino Linotype" w:hAnsi="Palatino Linotype" w:cs="Arial"/>
          <w:sz w:val="24"/>
          <w:szCs w:val="24"/>
        </w:rPr>
        <w:t>El Órgano Garante del derecho de acceso a la información pública no debe imponerles las cargas formales del proceso jurisdiccional a los particulares.</w:t>
      </w:r>
    </w:p>
    <w:p w:rsidR="0046491C" w:rsidRPr="00C27EF9" w:rsidRDefault="0046491C" w:rsidP="003A41AE">
      <w:pPr>
        <w:spacing w:after="0" w:line="312" w:lineRule="auto"/>
        <w:jc w:val="both"/>
        <w:rPr>
          <w:rFonts w:ascii="Palatino Linotype" w:hAnsi="Palatino Linotype" w:cs="Arial"/>
          <w:sz w:val="24"/>
          <w:szCs w:val="24"/>
        </w:rPr>
      </w:pPr>
    </w:p>
    <w:p w:rsidR="0046491C" w:rsidRPr="00C27EF9" w:rsidRDefault="0046491C" w:rsidP="003A41AE">
      <w:pPr>
        <w:spacing w:after="0" w:line="312" w:lineRule="auto"/>
        <w:jc w:val="both"/>
        <w:rPr>
          <w:rFonts w:ascii="Palatino Linotype" w:hAnsi="Palatino Linotype" w:cs="Arial"/>
          <w:sz w:val="24"/>
          <w:szCs w:val="24"/>
        </w:rPr>
      </w:pPr>
      <w:r w:rsidRPr="00C27EF9">
        <w:rPr>
          <w:rFonts w:ascii="Palatino Linotype" w:hAnsi="Palatino Linotype" w:cs="Arial"/>
          <w:sz w:val="24"/>
          <w:szCs w:val="24"/>
        </w:rPr>
        <w:t>Lo que este Órgano Garante realice en materia de suplencia de la queja no afecta la igualdad de las partes sino procura el cumplimiento de los deberes de protección del derecho humano.</w:t>
      </w:r>
    </w:p>
    <w:p w:rsidR="0046491C" w:rsidRPr="00C27EF9" w:rsidRDefault="0046491C" w:rsidP="003A41AE">
      <w:pPr>
        <w:spacing w:after="0" w:line="312" w:lineRule="auto"/>
        <w:jc w:val="both"/>
        <w:rPr>
          <w:rFonts w:ascii="Palatino Linotype" w:hAnsi="Palatino Linotype" w:cs="Arial"/>
          <w:sz w:val="24"/>
          <w:szCs w:val="24"/>
        </w:rPr>
      </w:pPr>
    </w:p>
    <w:p w:rsidR="0046491C" w:rsidRPr="00C27EF9" w:rsidRDefault="0046491C" w:rsidP="003A41AE">
      <w:pPr>
        <w:spacing w:after="0" w:line="312" w:lineRule="auto"/>
        <w:jc w:val="both"/>
        <w:rPr>
          <w:rFonts w:ascii="Palatino Linotype" w:hAnsi="Palatino Linotype" w:cs="Arial"/>
          <w:sz w:val="24"/>
          <w:szCs w:val="24"/>
        </w:rPr>
      </w:pPr>
      <w:r w:rsidRPr="00C27EF9">
        <w:rPr>
          <w:rFonts w:ascii="Palatino Linotype" w:hAnsi="Palatino Linotype" w:cs="Arial"/>
          <w:sz w:val="24"/>
          <w:szCs w:val="24"/>
        </w:rPr>
        <w:t>Restringir el derecho de acceso a la información pública del particular al no ordenar la información solicitada por no impugnar la falta de entrega de los documentos solicitados, debilita la efectividad de la  garantía de este derecho humano al hacerla depender de un hecho desconocido.</w:t>
      </w:r>
    </w:p>
    <w:p w:rsidR="002921DD" w:rsidRPr="00C27EF9" w:rsidRDefault="002921DD" w:rsidP="003A41AE">
      <w:pPr>
        <w:spacing w:after="0" w:line="312" w:lineRule="auto"/>
        <w:jc w:val="both"/>
        <w:rPr>
          <w:rFonts w:ascii="Palatino Linotype" w:hAnsi="Palatino Linotype" w:cs="Arial"/>
          <w:sz w:val="24"/>
          <w:szCs w:val="24"/>
        </w:rPr>
      </w:pPr>
    </w:p>
    <w:p w:rsidR="003A41AE" w:rsidRDefault="0046491C" w:rsidP="003A41AE">
      <w:pPr>
        <w:spacing w:after="0" w:line="312" w:lineRule="auto"/>
        <w:jc w:val="both"/>
        <w:rPr>
          <w:rFonts w:ascii="Palatino Linotype" w:hAnsi="Palatino Linotype" w:cs="Arial"/>
          <w:sz w:val="24"/>
          <w:szCs w:val="24"/>
        </w:rPr>
      </w:pPr>
      <w:r w:rsidRPr="00C27EF9">
        <w:rPr>
          <w:rFonts w:ascii="Palatino Linotype" w:hAnsi="Palatino Linotype" w:cs="Arial"/>
          <w:sz w:val="24"/>
          <w:szCs w:val="24"/>
        </w:rPr>
        <w:t>Los órga</w:t>
      </w:r>
      <w:r w:rsidR="00E64674" w:rsidRPr="00C27EF9">
        <w:rPr>
          <w:rFonts w:ascii="Palatino Linotype" w:hAnsi="Palatino Linotype" w:cs="Arial"/>
          <w:sz w:val="24"/>
          <w:szCs w:val="24"/>
        </w:rPr>
        <w:t>nos del Estado, tienen el deber</w:t>
      </w:r>
      <w:r w:rsidRPr="00C27EF9">
        <w:rPr>
          <w:rFonts w:ascii="Palatino Linotype" w:hAnsi="Palatino Linotype" w:cs="Arial"/>
          <w:sz w:val="24"/>
          <w:szCs w:val="24"/>
        </w:rPr>
        <w:t>, de prevenir violacion</w:t>
      </w:r>
      <w:r w:rsidR="00E64674" w:rsidRPr="00C27EF9">
        <w:rPr>
          <w:rFonts w:ascii="Palatino Linotype" w:hAnsi="Palatino Linotype" w:cs="Arial"/>
          <w:sz w:val="24"/>
          <w:szCs w:val="24"/>
        </w:rPr>
        <w:t>es a los derechos fundamentales.</w:t>
      </w:r>
    </w:p>
    <w:p w:rsidR="0046491C" w:rsidRPr="00C27EF9" w:rsidRDefault="002921DD" w:rsidP="003A41AE">
      <w:pPr>
        <w:spacing w:after="0" w:line="312" w:lineRule="auto"/>
        <w:jc w:val="center"/>
        <w:rPr>
          <w:rFonts w:ascii="Palatino Linotype" w:hAnsi="Palatino Linotype" w:cs="Arial"/>
          <w:sz w:val="24"/>
          <w:szCs w:val="24"/>
        </w:rPr>
      </w:pPr>
      <w:r w:rsidRPr="00C27EF9">
        <w:rPr>
          <w:rFonts w:ascii="Palatino Linotype" w:hAnsi="Palatino Linotype" w:cs="Arial"/>
          <w:b/>
          <w:sz w:val="24"/>
          <w:szCs w:val="24"/>
        </w:rPr>
        <w:lastRenderedPageBreak/>
        <w:t>ÍNDICE</w:t>
      </w:r>
    </w:p>
    <w:sdt>
      <w:sdtPr>
        <w:rPr>
          <w:rFonts w:ascii="Palatino Linotype" w:eastAsiaTheme="minorHAnsi" w:hAnsi="Palatino Linotype" w:cstheme="minorBidi"/>
          <w:color w:val="auto"/>
          <w:sz w:val="24"/>
          <w:szCs w:val="24"/>
          <w:lang w:val="es-ES" w:eastAsia="en-US"/>
        </w:rPr>
        <w:id w:val="-1628690016"/>
        <w:docPartObj>
          <w:docPartGallery w:val="Table of Contents"/>
          <w:docPartUnique/>
        </w:docPartObj>
      </w:sdtPr>
      <w:sdtEndPr>
        <w:rPr>
          <w:b/>
          <w:bCs/>
        </w:rPr>
      </w:sdtEndPr>
      <w:sdtContent>
        <w:p w:rsidR="0046491C" w:rsidRPr="00C27EF9" w:rsidRDefault="0046491C" w:rsidP="00E34F08">
          <w:pPr>
            <w:pStyle w:val="TtulodeTDC"/>
            <w:spacing w:line="360" w:lineRule="auto"/>
            <w:rPr>
              <w:rFonts w:ascii="Palatino Linotype" w:hAnsi="Palatino Linotype"/>
              <w:sz w:val="24"/>
              <w:szCs w:val="24"/>
            </w:rPr>
          </w:pPr>
        </w:p>
        <w:p w:rsidR="001A0C85" w:rsidRDefault="0046491C">
          <w:pPr>
            <w:pStyle w:val="TDC1"/>
            <w:tabs>
              <w:tab w:val="left" w:pos="440"/>
              <w:tab w:val="right" w:leader="dot" w:pos="8828"/>
            </w:tabs>
            <w:rPr>
              <w:rFonts w:eastAsiaTheme="minorEastAsia"/>
              <w:noProof/>
              <w:lang w:eastAsia="es-MX"/>
            </w:rPr>
          </w:pPr>
          <w:r w:rsidRPr="00C27EF9">
            <w:rPr>
              <w:rFonts w:ascii="Palatino Linotype" w:hAnsi="Palatino Linotype"/>
              <w:sz w:val="24"/>
              <w:szCs w:val="24"/>
            </w:rPr>
            <w:fldChar w:fldCharType="begin"/>
          </w:r>
          <w:r w:rsidRPr="00C27EF9">
            <w:rPr>
              <w:rFonts w:ascii="Palatino Linotype" w:hAnsi="Palatino Linotype"/>
              <w:sz w:val="24"/>
              <w:szCs w:val="24"/>
            </w:rPr>
            <w:instrText xml:space="preserve"> TOC \o "1-3" \h \z \u </w:instrText>
          </w:r>
          <w:r w:rsidRPr="00C27EF9">
            <w:rPr>
              <w:rFonts w:ascii="Palatino Linotype" w:hAnsi="Palatino Linotype"/>
              <w:sz w:val="24"/>
              <w:szCs w:val="24"/>
            </w:rPr>
            <w:fldChar w:fldCharType="separate"/>
          </w:r>
          <w:hyperlink w:anchor="_Toc535239165" w:history="1">
            <w:r w:rsidR="001A0C85" w:rsidRPr="00402E75">
              <w:rPr>
                <w:rStyle w:val="Hipervnculo"/>
                <w:rFonts w:ascii="Palatino Linotype" w:hAnsi="Palatino Linotype"/>
                <w:b/>
                <w:noProof/>
              </w:rPr>
              <w:t>I.</w:t>
            </w:r>
            <w:r w:rsidR="001A0C85">
              <w:rPr>
                <w:rFonts w:eastAsiaTheme="minorEastAsia"/>
                <w:noProof/>
                <w:lang w:eastAsia="es-MX"/>
              </w:rPr>
              <w:tab/>
            </w:r>
            <w:r w:rsidR="001A0C85" w:rsidRPr="00402E75">
              <w:rPr>
                <w:rStyle w:val="Hipervnculo"/>
                <w:rFonts w:ascii="Palatino Linotype" w:hAnsi="Palatino Linotype"/>
                <w:b/>
                <w:noProof/>
              </w:rPr>
              <w:t>Consideraciones Generales.</w:t>
            </w:r>
            <w:r w:rsidR="001A0C85">
              <w:rPr>
                <w:noProof/>
                <w:webHidden/>
              </w:rPr>
              <w:tab/>
            </w:r>
            <w:r w:rsidR="001A0C85">
              <w:rPr>
                <w:noProof/>
                <w:webHidden/>
              </w:rPr>
              <w:fldChar w:fldCharType="begin"/>
            </w:r>
            <w:r w:rsidR="001A0C85">
              <w:rPr>
                <w:noProof/>
                <w:webHidden/>
              </w:rPr>
              <w:instrText xml:space="preserve"> PAGEREF _Toc535239165 \h </w:instrText>
            </w:r>
            <w:r w:rsidR="001A0C85">
              <w:rPr>
                <w:noProof/>
                <w:webHidden/>
              </w:rPr>
            </w:r>
            <w:r w:rsidR="001A0C85">
              <w:rPr>
                <w:noProof/>
                <w:webHidden/>
              </w:rPr>
              <w:fldChar w:fldCharType="separate"/>
            </w:r>
            <w:r w:rsidR="009C154D">
              <w:rPr>
                <w:noProof/>
                <w:webHidden/>
              </w:rPr>
              <w:t>2</w:t>
            </w:r>
            <w:r w:rsidR="001A0C85">
              <w:rPr>
                <w:noProof/>
                <w:webHidden/>
              </w:rPr>
              <w:fldChar w:fldCharType="end"/>
            </w:r>
          </w:hyperlink>
        </w:p>
        <w:p w:rsidR="001A0C85" w:rsidRDefault="001A0C85">
          <w:pPr>
            <w:pStyle w:val="TDC1"/>
            <w:tabs>
              <w:tab w:val="left" w:pos="660"/>
              <w:tab w:val="right" w:leader="dot" w:pos="8828"/>
            </w:tabs>
            <w:rPr>
              <w:rFonts w:eastAsiaTheme="minorEastAsia"/>
              <w:noProof/>
              <w:lang w:eastAsia="es-MX"/>
            </w:rPr>
          </w:pPr>
          <w:hyperlink w:anchor="_Toc535239166" w:history="1">
            <w:r w:rsidRPr="00402E75">
              <w:rPr>
                <w:rStyle w:val="Hipervnculo"/>
                <w:rFonts w:ascii="Palatino Linotype" w:hAnsi="Palatino Linotype"/>
                <w:b/>
                <w:noProof/>
              </w:rPr>
              <w:t>II.</w:t>
            </w:r>
            <w:r>
              <w:rPr>
                <w:rFonts w:eastAsiaTheme="minorEastAsia"/>
                <w:noProof/>
                <w:lang w:eastAsia="es-MX"/>
              </w:rPr>
              <w:tab/>
            </w:r>
            <w:r w:rsidRPr="00402E75">
              <w:rPr>
                <w:rStyle w:val="Hipervnculo"/>
                <w:rFonts w:ascii="Palatino Linotype" w:hAnsi="Palatino Linotype"/>
                <w:b/>
                <w:noProof/>
              </w:rPr>
              <w:t>De los requerimientos planteados en el recurso de revisión.</w:t>
            </w:r>
            <w:r>
              <w:rPr>
                <w:noProof/>
                <w:webHidden/>
              </w:rPr>
              <w:tab/>
            </w:r>
            <w:r>
              <w:rPr>
                <w:noProof/>
                <w:webHidden/>
              </w:rPr>
              <w:fldChar w:fldCharType="begin"/>
            </w:r>
            <w:r>
              <w:rPr>
                <w:noProof/>
                <w:webHidden/>
              </w:rPr>
              <w:instrText xml:space="preserve"> PAGEREF _Toc535239166 \h </w:instrText>
            </w:r>
            <w:r>
              <w:rPr>
                <w:noProof/>
                <w:webHidden/>
              </w:rPr>
            </w:r>
            <w:r>
              <w:rPr>
                <w:noProof/>
                <w:webHidden/>
              </w:rPr>
              <w:fldChar w:fldCharType="separate"/>
            </w:r>
            <w:r w:rsidR="009C154D">
              <w:rPr>
                <w:noProof/>
                <w:webHidden/>
              </w:rPr>
              <w:t>3</w:t>
            </w:r>
            <w:r>
              <w:rPr>
                <w:noProof/>
                <w:webHidden/>
              </w:rPr>
              <w:fldChar w:fldCharType="end"/>
            </w:r>
          </w:hyperlink>
        </w:p>
        <w:p w:rsidR="001A0C85" w:rsidRDefault="001A0C85">
          <w:pPr>
            <w:pStyle w:val="TDC1"/>
            <w:tabs>
              <w:tab w:val="left" w:pos="660"/>
              <w:tab w:val="right" w:leader="dot" w:pos="8828"/>
            </w:tabs>
            <w:rPr>
              <w:rFonts w:eastAsiaTheme="minorEastAsia"/>
              <w:noProof/>
              <w:lang w:eastAsia="es-MX"/>
            </w:rPr>
          </w:pPr>
          <w:hyperlink w:anchor="_Toc535239167" w:history="1">
            <w:r w:rsidRPr="00402E75">
              <w:rPr>
                <w:rStyle w:val="Hipervnculo"/>
                <w:rFonts w:ascii="Palatino Linotype" w:hAnsi="Palatino Linotype"/>
                <w:b/>
                <w:noProof/>
              </w:rPr>
              <w:t>III.</w:t>
            </w:r>
            <w:r>
              <w:rPr>
                <w:rFonts w:eastAsiaTheme="minorEastAsia"/>
                <w:noProof/>
                <w:lang w:eastAsia="es-MX"/>
              </w:rPr>
              <w:tab/>
            </w:r>
            <w:r w:rsidRPr="00402E75">
              <w:rPr>
                <w:rStyle w:val="Hipervnculo"/>
                <w:rFonts w:ascii="Palatino Linotype" w:hAnsi="Palatino Linotype"/>
                <w:b/>
                <w:noProof/>
              </w:rPr>
              <w:t>Los actos consentidos no deben invocarse en el derecho fundamental de acceder a la información pública gubernamental.</w:t>
            </w:r>
            <w:r>
              <w:rPr>
                <w:noProof/>
                <w:webHidden/>
              </w:rPr>
              <w:tab/>
            </w:r>
            <w:r>
              <w:rPr>
                <w:noProof/>
                <w:webHidden/>
              </w:rPr>
              <w:fldChar w:fldCharType="begin"/>
            </w:r>
            <w:r>
              <w:rPr>
                <w:noProof/>
                <w:webHidden/>
              </w:rPr>
              <w:instrText xml:space="preserve"> PAGEREF _Toc535239167 \h </w:instrText>
            </w:r>
            <w:r>
              <w:rPr>
                <w:noProof/>
                <w:webHidden/>
              </w:rPr>
            </w:r>
            <w:r>
              <w:rPr>
                <w:noProof/>
                <w:webHidden/>
              </w:rPr>
              <w:fldChar w:fldCharType="separate"/>
            </w:r>
            <w:r w:rsidR="009C154D">
              <w:rPr>
                <w:noProof/>
                <w:webHidden/>
              </w:rPr>
              <w:t>10</w:t>
            </w:r>
            <w:r>
              <w:rPr>
                <w:noProof/>
                <w:webHidden/>
              </w:rPr>
              <w:fldChar w:fldCharType="end"/>
            </w:r>
          </w:hyperlink>
        </w:p>
        <w:p w:rsidR="0046491C" w:rsidRPr="00C27EF9" w:rsidRDefault="0046491C" w:rsidP="00E34F08">
          <w:pPr>
            <w:spacing w:line="360" w:lineRule="auto"/>
            <w:rPr>
              <w:rFonts w:ascii="Palatino Linotype" w:hAnsi="Palatino Linotype"/>
              <w:sz w:val="24"/>
              <w:szCs w:val="24"/>
            </w:rPr>
          </w:pPr>
          <w:r w:rsidRPr="00C27EF9">
            <w:rPr>
              <w:rFonts w:ascii="Palatino Linotype" w:hAnsi="Palatino Linotype"/>
              <w:b/>
              <w:bCs/>
              <w:sz w:val="24"/>
              <w:szCs w:val="24"/>
              <w:lang w:val="es-ES"/>
            </w:rPr>
            <w:fldChar w:fldCharType="end"/>
          </w:r>
        </w:p>
      </w:sdtContent>
    </w:sdt>
    <w:p w:rsidR="0046491C" w:rsidRPr="00C27EF9" w:rsidRDefault="0046491C" w:rsidP="002921DD">
      <w:pPr>
        <w:pStyle w:val="Ttulo1"/>
        <w:numPr>
          <w:ilvl w:val="0"/>
          <w:numId w:val="12"/>
        </w:numPr>
        <w:spacing w:line="360" w:lineRule="auto"/>
        <w:ind w:left="0" w:firstLine="0"/>
        <w:rPr>
          <w:rFonts w:ascii="Palatino Linotype" w:hAnsi="Palatino Linotype"/>
          <w:b/>
          <w:color w:val="auto"/>
          <w:sz w:val="24"/>
          <w:szCs w:val="24"/>
        </w:rPr>
      </w:pPr>
      <w:bookmarkStart w:id="0" w:name="_Toc535239165"/>
      <w:r w:rsidRPr="00C27EF9">
        <w:rPr>
          <w:rFonts w:ascii="Palatino Linotype" w:hAnsi="Palatino Linotype"/>
          <w:b/>
          <w:color w:val="auto"/>
          <w:sz w:val="24"/>
          <w:szCs w:val="24"/>
        </w:rPr>
        <w:t>Consideraciones Generales.</w:t>
      </w:r>
      <w:bookmarkEnd w:id="0"/>
    </w:p>
    <w:p w:rsidR="0046491C" w:rsidRPr="00C27EF9" w:rsidRDefault="0046491C" w:rsidP="00E34F08">
      <w:pPr>
        <w:pStyle w:val="Prrafodelista"/>
        <w:spacing w:after="0" w:line="360" w:lineRule="auto"/>
        <w:ind w:left="1080"/>
        <w:jc w:val="both"/>
        <w:rPr>
          <w:rFonts w:ascii="Palatino Linotype" w:hAnsi="Palatino Linotype" w:cs="Arial"/>
          <w:b/>
          <w:sz w:val="24"/>
          <w:szCs w:val="24"/>
        </w:rPr>
      </w:pPr>
    </w:p>
    <w:p w:rsidR="0000525F" w:rsidRPr="00E6104E" w:rsidRDefault="0046491C" w:rsidP="00185583">
      <w:pPr>
        <w:pStyle w:val="Prrafodelista"/>
        <w:numPr>
          <w:ilvl w:val="0"/>
          <w:numId w:val="1"/>
        </w:numPr>
        <w:spacing w:after="0" w:line="360" w:lineRule="auto"/>
        <w:ind w:left="0" w:firstLine="0"/>
        <w:jc w:val="both"/>
        <w:rPr>
          <w:rFonts w:ascii="Palatino Linotype" w:hAnsi="Palatino Linotype" w:cs="Arial"/>
          <w:sz w:val="24"/>
          <w:szCs w:val="24"/>
        </w:rPr>
      </w:pPr>
      <w:r w:rsidRPr="00E6104E">
        <w:rPr>
          <w:rFonts w:ascii="Palatino Linotype" w:eastAsia="Times New Roman" w:hAnsi="Palatino Linotype" w:cs="Arial"/>
          <w:sz w:val="24"/>
          <w:szCs w:val="24"/>
          <w:lang w:val="es-ES_tradnl"/>
        </w:rPr>
        <w:t xml:space="preserve">He concurrido con mi </w:t>
      </w:r>
      <w:r w:rsidR="00D33AF9" w:rsidRPr="00E6104E">
        <w:rPr>
          <w:rFonts w:ascii="Palatino Linotype" w:eastAsia="Times New Roman" w:hAnsi="Palatino Linotype" w:cs="Arial"/>
          <w:sz w:val="24"/>
          <w:szCs w:val="24"/>
          <w:lang w:val="es-ES_tradnl"/>
        </w:rPr>
        <w:t>voto</w:t>
      </w:r>
      <w:r w:rsidRPr="00E6104E">
        <w:rPr>
          <w:rFonts w:ascii="Palatino Linotype" w:eastAsia="Times New Roman" w:hAnsi="Palatino Linotype" w:cs="Arial"/>
          <w:sz w:val="24"/>
          <w:szCs w:val="24"/>
          <w:lang w:val="es-ES_tradnl"/>
        </w:rPr>
        <w:t xml:space="preserve"> particular de la presente resolución emitida </w:t>
      </w:r>
      <w:r w:rsidRPr="00E6104E">
        <w:rPr>
          <w:rFonts w:ascii="Palatino Linotype" w:hAnsi="Palatino Linotype" w:cs="Arial"/>
          <w:sz w:val="24"/>
          <w:szCs w:val="24"/>
        </w:rPr>
        <w:t>por el Pleno del Instituto de Transparencia, Acceso a la Información Pública y Protección de Datos Personales del Estado de Méxi</w:t>
      </w:r>
      <w:r w:rsidR="002C1F75" w:rsidRPr="00E6104E">
        <w:rPr>
          <w:rFonts w:ascii="Palatino Linotype" w:hAnsi="Palatino Linotype" w:cs="Arial"/>
          <w:sz w:val="24"/>
          <w:szCs w:val="24"/>
        </w:rPr>
        <w:t>co y Municipios, en su</w:t>
      </w:r>
      <w:r w:rsidR="001A0C85" w:rsidRPr="00E6104E">
        <w:rPr>
          <w:rFonts w:ascii="Palatino Linotype" w:hAnsi="Palatino Linotype" w:cs="Arial"/>
          <w:sz w:val="24"/>
          <w:szCs w:val="24"/>
        </w:rPr>
        <w:t xml:space="preserve"> Primera</w:t>
      </w:r>
      <w:r w:rsidR="006E2606" w:rsidRPr="00E6104E">
        <w:rPr>
          <w:rFonts w:ascii="Palatino Linotype" w:hAnsi="Palatino Linotype" w:cs="Arial"/>
          <w:sz w:val="24"/>
          <w:szCs w:val="24"/>
        </w:rPr>
        <w:t xml:space="preserve"> </w:t>
      </w:r>
      <w:r w:rsidR="005D0C3F" w:rsidRPr="00E6104E">
        <w:rPr>
          <w:rFonts w:ascii="Palatino Linotype" w:hAnsi="Palatino Linotype" w:cs="Arial"/>
          <w:sz w:val="24"/>
          <w:szCs w:val="24"/>
        </w:rPr>
        <w:t>Sesión O</w:t>
      </w:r>
      <w:r w:rsidR="001A0C85" w:rsidRPr="00E6104E">
        <w:rPr>
          <w:rFonts w:ascii="Palatino Linotype" w:hAnsi="Palatino Linotype" w:cs="Arial"/>
          <w:sz w:val="24"/>
          <w:szCs w:val="24"/>
        </w:rPr>
        <w:t xml:space="preserve">rdinaria de </w:t>
      </w:r>
      <w:r w:rsidR="006B36D1" w:rsidRPr="00E6104E">
        <w:rPr>
          <w:rFonts w:ascii="Palatino Linotype" w:hAnsi="Palatino Linotype" w:cs="Arial"/>
          <w:sz w:val="24"/>
          <w:szCs w:val="24"/>
        </w:rPr>
        <w:t xml:space="preserve">nueve </w:t>
      </w:r>
      <w:r w:rsidRPr="00E6104E">
        <w:rPr>
          <w:rFonts w:ascii="Palatino Linotype" w:hAnsi="Palatino Linotype" w:cs="Arial"/>
          <w:sz w:val="24"/>
          <w:szCs w:val="24"/>
        </w:rPr>
        <w:t>(</w:t>
      </w:r>
      <w:r w:rsidR="001A0C85" w:rsidRPr="00E6104E">
        <w:rPr>
          <w:rFonts w:ascii="Palatino Linotype" w:hAnsi="Palatino Linotype" w:cs="Arial"/>
          <w:sz w:val="24"/>
          <w:szCs w:val="24"/>
        </w:rPr>
        <w:t>09) de enero de dos mil diecinueve, en los</w:t>
      </w:r>
      <w:r w:rsidRPr="00E6104E">
        <w:rPr>
          <w:rFonts w:ascii="Palatino Linotype" w:hAnsi="Palatino Linotype" w:cs="Arial"/>
          <w:sz w:val="24"/>
          <w:szCs w:val="24"/>
        </w:rPr>
        <w:t xml:space="preserve"> recurso</w:t>
      </w:r>
      <w:r w:rsidR="001A0C85" w:rsidRPr="00E6104E">
        <w:rPr>
          <w:rFonts w:ascii="Palatino Linotype" w:hAnsi="Palatino Linotype" w:cs="Arial"/>
          <w:sz w:val="24"/>
          <w:szCs w:val="24"/>
        </w:rPr>
        <w:t>s</w:t>
      </w:r>
      <w:r w:rsidR="002C1F75" w:rsidRPr="00E6104E">
        <w:rPr>
          <w:rFonts w:ascii="Palatino Linotype" w:hAnsi="Palatino Linotype" w:cs="Arial"/>
          <w:sz w:val="24"/>
          <w:szCs w:val="24"/>
        </w:rPr>
        <w:t xml:space="preserve"> de revisión promovido</w:t>
      </w:r>
      <w:r w:rsidR="001A0C85" w:rsidRPr="00E6104E">
        <w:rPr>
          <w:rFonts w:ascii="Palatino Linotype" w:hAnsi="Palatino Linotype" w:cs="Arial"/>
          <w:sz w:val="24"/>
          <w:szCs w:val="24"/>
        </w:rPr>
        <w:t>s</w:t>
      </w:r>
      <w:r w:rsidRPr="00E6104E">
        <w:rPr>
          <w:rFonts w:ascii="Palatino Linotype" w:hAnsi="Palatino Linotype" w:cs="Arial"/>
          <w:sz w:val="24"/>
          <w:szCs w:val="24"/>
        </w:rPr>
        <w:t xml:space="preserve"> en contra de la</w:t>
      </w:r>
      <w:r w:rsidR="00902248" w:rsidRPr="00E6104E">
        <w:rPr>
          <w:rFonts w:ascii="Palatino Linotype" w:hAnsi="Palatino Linotype" w:cs="Arial"/>
          <w:sz w:val="24"/>
          <w:szCs w:val="24"/>
        </w:rPr>
        <w:t>s</w:t>
      </w:r>
      <w:r w:rsidR="003A41AE" w:rsidRPr="00E6104E">
        <w:rPr>
          <w:rFonts w:ascii="Palatino Linotype" w:hAnsi="Palatino Linotype" w:cs="Arial"/>
          <w:sz w:val="24"/>
          <w:szCs w:val="24"/>
        </w:rPr>
        <w:t xml:space="preserve"> respuesta</w:t>
      </w:r>
      <w:r w:rsidR="001A0C85" w:rsidRPr="00E6104E">
        <w:rPr>
          <w:rFonts w:ascii="Palatino Linotype" w:hAnsi="Palatino Linotype" w:cs="Arial"/>
          <w:sz w:val="24"/>
          <w:szCs w:val="24"/>
        </w:rPr>
        <w:t>s</w:t>
      </w:r>
      <w:r w:rsidR="003A41AE" w:rsidRPr="00E6104E">
        <w:rPr>
          <w:rFonts w:ascii="Palatino Linotype" w:hAnsi="Palatino Linotype" w:cs="Arial"/>
          <w:sz w:val="24"/>
          <w:szCs w:val="24"/>
        </w:rPr>
        <w:t xml:space="preserve"> del</w:t>
      </w:r>
      <w:r w:rsidR="00E6104E" w:rsidRPr="00E6104E">
        <w:rPr>
          <w:rFonts w:ascii="Palatino Linotype" w:hAnsi="Palatino Linotype" w:cs="Arial"/>
          <w:b/>
          <w:sz w:val="24"/>
          <w:szCs w:val="24"/>
        </w:rPr>
        <w:t xml:space="preserve"> Ayuntamiento de Villa Guerrero</w:t>
      </w:r>
      <w:r w:rsidRPr="00E6104E">
        <w:rPr>
          <w:rFonts w:ascii="Palatino Linotype" w:hAnsi="Palatino Linotype" w:cs="Arial"/>
          <w:b/>
          <w:sz w:val="24"/>
          <w:szCs w:val="24"/>
        </w:rPr>
        <w:t>,</w:t>
      </w:r>
      <w:r w:rsidRPr="00E6104E">
        <w:rPr>
          <w:rFonts w:ascii="Palatino Linotype" w:hAnsi="Palatino Linotype" w:cs="Arial"/>
          <w:sz w:val="24"/>
          <w:szCs w:val="24"/>
        </w:rPr>
        <w:t xml:space="preserve"> procedimiento</w:t>
      </w:r>
      <w:r w:rsidR="001A0C85" w:rsidRPr="00E6104E">
        <w:rPr>
          <w:rFonts w:ascii="Palatino Linotype" w:hAnsi="Palatino Linotype" w:cs="Arial"/>
          <w:sz w:val="24"/>
          <w:szCs w:val="24"/>
        </w:rPr>
        <w:t xml:space="preserve">s a los </w:t>
      </w:r>
      <w:r w:rsidR="00902248" w:rsidRPr="00E6104E">
        <w:rPr>
          <w:rFonts w:ascii="Palatino Linotype" w:hAnsi="Palatino Linotype" w:cs="Arial"/>
          <w:sz w:val="24"/>
          <w:szCs w:val="24"/>
        </w:rPr>
        <w:t>que se le</w:t>
      </w:r>
      <w:r w:rsidR="001A0C85" w:rsidRPr="00E6104E">
        <w:rPr>
          <w:rFonts w:ascii="Palatino Linotype" w:hAnsi="Palatino Linotype" w:cs="Arial"/>
          <w:sz w:val="24"/>
          <w:szCs w:val="24"/>
        </w:rPr>
        <w:t>s</w:t>
      </w:r>
      <w:r w:rsidR="00902248" w:rsidRPr="00E6104E">
        <w:rPr>
          <w:rFonts w:ascii="Palatino Linotype" w:hAnsi="Palatino Linotype" w:cs="Arial"/>
          <w:sz w:val="24"/>
          <w:szCs w:val="24"/>
        </w:rPr>
        <w:t xml:space="preserve"> asignó </w:t>
      </w:r>
      <w:r w:rsidR="001A0C85" w:rsidRPr="00E6104E">
        <w:rPr>
          <w:rFonts w:ascii="Palatino Linotype" w:hAnsi="Palatino Linotype" w:cs="Arial"/>
          <w:sz w:val="24"/>
          <w:szCs w:val="24"/>
        </w:rPr>
        <w:t xml:space="preserve">los números </w:t>
      </w:r>
      <w:r w:rsidRPr="00E6104E">
        <w:rPr>
          <w:rFonts w:ascii="Palatino Linotype" w:hAnsi="Palatino Linotype" w:cs="Arial"/>
          <w:sz w:val="24"/>
          <w:szCs w:val="24"/>
        </w:rPr>
        <w:t xml:space="preserve">de expediente </w:t>
      </w:r>
      <w:r w:rsidR="00E6104E" w:rsidRPr="00E6104E">
        <w:rPr>
          <w:rFonts w:ascii="Palatino Linotype" w:eastAsia="Times New Roman" w:hAnsi="Palatino Linotype" w:cs="Arial"/>
          <w:b/>
          <w:bCs/>
          <w:sz w:val="24"/>
          <w:szCs w:val="24"/>
          <w:lang w:eastAsia="es-ES"/>
        </w:rPr>
        <w:t>03986</w:t>
      </w:r>
      <w:r w:rsidR="003A41AE" w:rsidRPr="00E6104E">
        <w:rPr>
          <w:rFonts w:ascii="Palatino Linotype" w:eastAsia="Times New Roman" w:hAnsi="Palatino Linotype" w:cs="Arial"/>
          <w:b/>
          <w:bCs/>
          <w:sz w:val="24"/>
          <w:szCs w:val="24"/>
          <w:lang w:eastAsia="es-ES"/>
        </w:rPr>
        <w:t>/INFOEM/IP/RR</w:t>
      </w:r>
      <w:r w:rsidR="00E6104E">
        <w:rPr>
          <w:rFonts w:ascii="Palatino Linotype" w:eastAsia="Times New Roman" w:hAnsi="Palatino Linotype" w:cs="Arial"/>
          <w:b/>
          <w:bCs/>
          <w:sz w:val="24"/>
          <w:szCs w:val="24"/>
          <w:lang w:eastAsia="es-ES"/>
        </w:rPr>
        <w:t xml:space="preserve">/2018 y </w:t>
      </w:r>
      <w:r w:rsidR="00E6104E" w:rsidRPr="00E6104E">
        <w:rPr>
          <w:rFonts w:ascii="Palatino Linotype" w:eastAsia="Times New Roman" w:hAnsi="Palatino Linotype" w:cs="Arial"/>
          <w:b/>
          <w:bCs/>
          <w:sz w:val="24"/>
          <w:szCs w:val="24"/>
          <w:lang w:eastAsia="es-ES"/>
        </w:rPr>
        <w:t xml:space="preserve"> 03989</w:t>
      </w:r>
      <w:r w:rsidR="00E6104E">
        <w:rPr>
          <w:rFonts w:ascii="Palatino Linotype" w:eastAsia="Times New Roman" w:hAnsi="Palatino Linotype" w:cs="Arial"/>
          <w:b/>
          <w:bCs/>
          <w:sz w:val="24"/>
          <w:szCs w:val="24"/>
          <w:lang w:eastAsia="es-ES"/>
        </w:rPr>
        <w:t>/INFOEM/IP/RR/2018.</w:t>
      </w:r>
    </w:p>
    <w:p w:rsidR="00E6104E" w:rsidRPr="00E6104E" w:rsidRDefault="00E6104E" w:rsidP="00E6104E">
      <w:pPr>
        <w:pStyle w:val="Prrafodelista"/>
        <w:spacing w:after="0" w:line="360" w:lineRule="auto"/>
        <w:ind w:left="426"/>
        <w:jc w:val="both"/>
        <w:rPr>
          <w:rFonts w:ascii="Palatino Linotype" w:hAnsi="Palatino Linotype" w:cs="Arial"/>
          <w:sz w:val="24"/>
          <w:szCs w:val="24"/>
        </w:rPr>
      </w:pPr>
    </w:p>
    <w:p w:rsidR="00185583" w:rsidRPr="003A41AE" w:rsidRDefault="00072CF3" w:rsidP="00185583">
      <w:pPr>
        <w:pStyle w:val="Prrafodelista"/>
        <w:numPr>
          <w:ilvl w:val="0"/>
          <w:numId w:val="1"/>
        </w:numPr>
        <w:spacing w:before="240" w:after="240" w:line="360" w:lineRule="auto"/>
        <w:ind w:left="0" w:right="49" w:firstLine="0"/>
        <w:jc w:val="both"/>
        <w:rPr>
          <w:rFonts w:ascii="Palatino Linotype" w:hAnsi="Palatino Linotype" w:cs="Arial"/>
          <w:sz w:val="24"/>
          <w:szCs w:val="24"/>
        </w:rPr>
      </w:pPr>
      <w:r>
        <w:rPr>
          <w:rFonts w:ascii="Palatino Linotype" w:hAnsi="Palatino Linotype" w:cs="Arial"/>
          <w:sz w:val="24"/>
          <w:szCs w:val="24"/>
        </w:rPr>
        <w:t xml:space="preserve">Resultan </w:t>
      </w:r>
      <w:r w:rsidR="0046491C" w:rsidRPr="00C27EF9">
        <w:rPr>
          <w:rFonts w:ascii="Palatino Linotype" w:hAnsi="Palatino Linotype" w:cs="Arial"/>
          <w:sz w:val="24"/>
          <w:szCs w:val="24"/>
        </w:rPr>
        <w:t>fundad</w:t>
      </w:r>
      <w:r w:rsidR="0000525F" w:rsidRPr="00C27EF9">
        <w:rPr>
          <w:rFonts w:ascii="Palatino Linotype" w:hAnsi="Palatino Linotype" w:cs="Arial"/>
          <w:sz w:val="24"/>
          <w:szCs w:val="24"/>
        </w:rPr>
        <w:t>o</w:t>
      </w:r>
      <w:r w:rsidR="0046491C" w:rsidRPr="00C27EF9">
        <w:rPr>
          <w:rFonts w:ascii="Palatino Linotype" w:hAnsi="Palatino Linotype" w:cs="Arial"/>
          <w:sz w:val="24"/>
          <w:szCs w:val="24"/>
        </w:rPr>
        <w:t>s</w:t>
      </w:r>
      <w:r w:rsidR="00185583">
        <w:rPr>
          <w:rFonts w:ascii="Palatino Linotype" w:hAnsi="Palatino Linotype" w:cs="Arial"/>
          <w:sz w:val="24"/>
          <w:szCs w:val="24"/>
        </w:rPr>
        <w:t xml:space="preserve"> los motivos de inconformidad vertidos por la Recurrente en el Recurso de Revisión número 3986/INFOEM/IP/RR/2018 y parcialmente fundados en el recurso 3989/INFOEM/IP/RR/2018, en términos del considerando Quinto y Sexto de la resolución, por lo que se ordena al sujeto obligado ponga a disposición la información referida. </w:t>
      </w:r>
      <w:r w:rsidR="0046491C" w:rsidRPr="00C27EF9">
        <w:rPr>
          <w:rFonts w:ascii="Palatino Linotype" w:hAnsi="Palatino Linotype" w:cs="Arial"/>
          <w:sz w:val="24"/>
          <w:szCs w:val="24"/>
        </w:rPr>
        <w:t xml:space="preserve"> </w:t>
      </w:r>
    </w:p>
    <w:p w:rsidR="0046491C" w:rsidRPr="00C27EF9" w:rsidRDefault="0046491C" w:rsidP="006B36D1">
      <w:pPr>
        <w:pStyle w:val="Prrafodelista"/>
        <w:numPr>
          <w:ilvl w:val="0"/>
          <w:numId w:val="1"/>
        </w:numPr>
        <w:spacing w:after="0" w:line="360" w:lineRule="auto"/>
        <w:ind w:left="0" w:firstLine="0"/>
        <w:jc w:val="both"/>
        <w:rPr>
          <w:rFonts w:ascii="Palatino Linotype" w:hAnsi="Palatino Linotype" w:cs="Arial"/>
          <w:sz w:val="24"/>
          <w:szCs w:val="24"/>
        </w:rPr>
      </w:pPr>
      <w:r w:rsidRPr="00C27EF9">
        <w:rPr>
          <w:rFonts w:ascii="Palatino Linotype" w:hAnsi="Palatino Linotype" w:cs="Arial"/>
          <w:sz w:val="24"/>
          <w:szCs w:val="24"/>
        </w:rPr>
        <w:lastRenderedPageBreak/>
        <w:t xml:space="preserve">Mi </w:t>
      </w:r>
      <w:r w:rsidR="00D33AF9" w:rsidRPr="00C27EF9">
        <w:rPr>
          <w:rFonts w:ascii="Palatino Linotype" w:hAnsi="Palatino Linotype" w:cs="Arial"/>
          <w:sz w:val="24"/>
          <w:szCs w:val="24"/>
        </w:rPr>
        <w:t>voto</w:t>
      </w:r>
      <w:r w:rsidRPr="00C27EF9">
        <w:rPr>
          <w:rFonts w:ascii="Palatino Linotype" w:hAnsi="Palatino Linotype" w:cs="Arial"/>
          <w:sz w:val="24"/>
          <w:szCs w:val="24"/>
        </w:rPr>
        <w:t xml:space="preserve"> particular se deriva del hecho de que se haya invocado la figura de actos consentidos en el presente asunto, resultando del todo innecesario hacer referencia a dicha figura, lo cual he manifestado en diversas ocasiones señalando que no deben invocarse en el derecho de acceso a la información pública.</w:t>
      </w:r>
    </w:p>
    <w:p w:rsidR="0046491C" w:rsidRPr="00C27EF9" w:rsidRDefault="0046491C" w:rsidP="00E34F08">
      <w:pPr>
        <w:spacing w:after="0" w:line="360" w:lineRule="auto"/>
        <w:jc w:val="both"/>
        <w:rPr>
          <w:rFonts w:ascii="Palatino Linotype" w:hAnsi="Palatino Linotype" w:cs="Arial"/>
          <w:sz w:val="24"/>
          <w:szCs w:val="24"/>
        </w:rPr>
      </w:pPr>
    </w:p>
    <w:p w:rsidR="0046491C" w:rsidRPr="00C27EF9" w:rsidRDefault="0046491C" w:rsidP="006B36D1">
      <w:pPr>
        <w:pStyle w:val="Prrafodelista"/>
        <w:numPr>
          <w:ilvl w:val="0"/>
          <w:numId w:val="1"/>
        </w:numPr>
        <w:spacing w:line="360" w:lineRule="auto"/>
        <w:ind w:left="0" w:firstLine="0"/>
        <w:jc w:val="both"/>
        <w:rPr>
          <w:rFonts w:ascii="Palatino Linotype" w:hAnsi="Palatino Linotype" w:cs="Arial"/>
          <w:sz w:val="24"/>
          <w:szCs w:val="24"/>
        </w:rPr>
      </w:pPr>
      <w:r w:rsidRPr="00C27EF9">
        <w:rPr>
          <w:rFonts w:ascii="Palatino Linotype" w:hAnsi="Palatino Linotype" w:cs="Arial"/>
          <w:sz w:val="24"/>
          <w:szCs w:val="24"/>
        </w:rPr>
        <w:t xml:space="preserve">Por tal motivo y en términos de lo señalado por los artículos </w:t>
      </w:r>
      <w:r w:rsidR="00AA49F3" w:rsidRPr="00C27EF9">
        <w:rPr>
          <w:rFonts w:ascii="Palatino Linotype" w:hAnsi="Palatino Linotype" w:cs="Arial"/>
          <w:sz w:val="24"/>
          <w:szCs w:val="24"/>
        </w:rPr>
        <w:t>14</w:t>
      </w:r>
      <w:r w:rsidRPr="00C27EF9">
        <w:rPr>
          <w:rFonts w:ascii="Palatino Linotype" w:hAnsi="Palatino Linotype" w:cs="Arial"/>
          <w:sz w:val="24"/>
          <w:szCs w:val="24"/>
        </w:rPr>
        <w:t xml:space="preserve"> fracción </w:t>
      </w:r>
      <w:r w:rsidR="00AA49F3" w:rsidRPr="00C27EF9">
        <w:rPr>
          <w:rFonts w:ascii="Palatino Linotype" w:hAnsi="Palatino Linotype" w:cs="Arial"/>
          <w:sz w:val="24"/>
          <w:szCs w:val="24"/>
        </w:rPr>
        <w:t>XI</w:t>
      </w:r>
      <w:r w:rsidRPr="00C27EF9">
        <w:rPr>
          <w:rFonts w:ascii="Palatino Linotype" w:hAnsi="Palatino Linotype" w:cs="Arial"/>
          <w:sz w:val="24"/>
          <w:szCs w:val="24"/>
        </w:rPr>
        <w:t xml:space="preserve"> del Reglamento Interior del Instituto de Transparencia y Acceso a la Información Pública del Estado de México y Municipios formulo el presente voto particular. </w:t>
      </w:r>
    </w:p>
    <w:p w:rsidR="0001046D" w:rsidRPr="00C27EF9" w:rsidRDefault="0001046D" w:rsidP="00E34F08">
      <w:pPr>
        <w:pStyle w:val="Prrafodelista"/>
        <w:rPr>
          <w:rFonts w:ascii="Palatino Linotype" w:hAnsi="Palatino Linotype" w:cs="Arial"/>
          <w:sz w:val="24"/>
          <w:szCs w:val="24"/>
        </w:rPr>
      </w:pPr>
    </w:p>
    <w:p w:rsidR="0046491C" w:rsidRPr="00C27EF9" w:rsidRDefault="0046491C" w:rsidP="006B36D1">
      <w:pPr>
        <w:pStyle w:val="Ttulo1"/>
        <w:numPr>
          <w:ilvl w:val="0"/>
          <w:numId w:val="12"/>
        </w:numPr>
        <w:spacing w:line="360" w:lineRule="auto"/>
        <w:ind w:left="0" w:firstLine="0"/>
        <w:rPr>
          <w:rFonts w:ascii="Palatino Linotype" w:hAnsi="Palatino Linotype"/>
          <w:b/>
          <w:color w:val="auto"/>
          <w:sz w:val="24"/>
          <w:szCs w:val="24"/>
        </w:rPr>
      </w:pPr>
      <w:bookmarkStart w:id="1" w:name="_Toc535239166"/>
      <w:r w:rsidRPr="00C27EF9">
        <w:rPr>
          <w:rFonts w:ascii="Palatino Linotype" w:hAnsi="Palatino Linotype"/>
          <w:b/>
          <w:color w:val="auto"/>
          <w:sz w:val="24"/>
          <w:szCs w:val="24"/>
        </w:rPr>
        <w:t>De los requerimientos planteados en el recurso de revisión.</w:t>
      </w:r>
      <w:bookmarkEnd w:id="1"/>
    </w:p>
    <w:p w:rsidR="0046491C" w:rsidRPr="00C27EF9" w:rsidRDefault="0046491C" w:rsidP="00E34F08">
      <w:pPr>
        <w:pStyle w:val="Prrafodelista"/>
        <w:spacing w:line="360" w:lineRule="auto"/>
        <w:ind w:left="1080"/>
        <w:jc w:val="both"/>
        <w:rPr>
          <w:rFonts w:ascii="Palatino Linotype" w:hAnsi="Palatino Linotype" w:cs="Arial"/>
          <w:sz w:val="24"/>
          <w:szCs w:val="24"/>
        </w:rPr>
      </w:pPr>
    </w:p>
    <w:p w:rsidR="00185583" w:rsidRPr="00185583" w:rsidRDefault="008E1DCC" w:rsidP="00185583">
      <w:pPr>
        <w:pStyle w:val="Prrafodelista"/>
        <w:numPr>
          <w:ilvl w:val="0"/>
          <w:numId w:val="1"/>
        </w:numPr>
        <w:spacing w:after="0" w:line="360" w:lineRule="auto"/>
        <w:ind w:left="0" w:firstLine="0"/>
        <w:jc w:val="both"/>
        <w:rPr>
          <w:rFonts w:ascii="Palatino Linotype" w:eastAsia="Times New Roman" w:hAnsi="Palatino Linotype" w:cs="Times New Roman"/>
          <w:i/>
          <w:sz w:val="24"/>
          <w:szCs w:val="24"/>
          <w:lang w:val="es-ES_tradnl" w:eastAsia="es-ES"/>
        </w:rPr>
      </w:pPr>
      <w:r w:rsidRPr="00C27EF9">
        <w:rPr>
          <w:rFonts w:ascii="Palatino Linotype" w:hAnsi="Palatino Linotype" w:cs="Arial"/>
          <w:sz w:val="24"/>
          <w:szCs w:val="24"/>
        </w:rPr>
        <w:t>El particular</w:t>
      </w:r>
      <w:r w:rsidR="00072CF3">
        <w:rPr>
          <w:rFonts w:ascii="Palatino Linotype" w:hAnsi="Palatino Linotype" w:cs="Arial"/>
          <w:sz w:val="24"/>
          <w:szCs w:val="24"/>
        </w:rPr>
        <w:t xml:space="preserve"> requirió del Instituto Electoral del Estado de México</w:t>
      </w:r>
      <w:r w:rsidR="00A029A4" w:rsidRPr="00C27EF9">
        <w:rPr>
          <w:rFonts w:ascii="Palatino Linotype" w:hAnsi="Palatino Linotype" w:cs="Arial"/>
          <w:b/>
          <w:sz w:val="24"/>
          <w:szCs w:val="24"/>
        </w:rPr>
        <w:t xml:space="preserve"> </w:t>
      </w:r>
      <w:r w:rsidR="00F25783" w:rsidRPr="00C27EF9">
        <w:rPr>
          <w:rFonts w:ascii="Palatino Linotype" w:hAnsi="Palatino Linotype" w:cs="Arial"/>
          <w:sz w:val="24"/>
          <w:szCs w:val="24"/>
        </w:rPr>
        <w:t xml:space="preserve">lo siguiente: </w:t>
      </w:r>
    </w:p>
    <w:p w:rsidR="00854590" w:rsidRPr="00ED2CEE" w:rsidRDefault="00413496" w:rsidP="00ED2CEE">
      <w:pPr>
        <w:pStyle w:val="Prrafodelista"/>
        <w:spacing w:after="0" w:line="360" w:lineRule="auto"/>
        <w:ind w:left="0"/>
        <w:jc w:val="both"/>
        <w:rPr>
          <w:rFonts w:ascii="Palatino Linotype" w:eastAsia="Times New Roman" w:hAnsi="Palatino Linotype" w:cs="Times New Roman"/>
          <w:i/>
          <w:sz w:val="24"/>
          <w:szCs w:val="24"/>
          <w:lang w:val="es-ES_tradnl" w:eastAsia="es-ES"/>
        </w:rPr>
      </w:pPr>
      <w:r w:rsidRPr="00D97434">
        <w:rPr>
          <w:rFonts w:ascii="Palatino Linotype" w:hAnsi="Palatino Linotype" w:cs="Arial"/>
          <w:b/>
          <w:sz w:val="24"/>
          <w:szCs w:val="24"/>
        </w:rPr>
        <w:t xml:space="preserve"> </w:t>
      </w:r>
    </w:p>
    <w:p w:rsidR="00185583" w:rsidRPr="00185583" w:rsidRDefault="00185583" w:rsidP="00185583">
      <w:pPr>
        <w:tabs>
          <w:tab w:val="left" w:pos="4667"/>
        </w:tabs>
        <w:spacing w:after="0" w:line="360" w:lineRule="auto"/>
        <w:ind w:left="567" w:right="616"/>
        <w:jc w:val="both"/>
        <w:rPr>
          <w:rFonts w:ascii="Palatino Linotype" w:eastAsia="Times New Roman" w:hAnsi="Palatino Linotype" w:cs="Tahoma"/>
          <w:b/>
          <w:szCs w:val="20"/>
          <w:lang w:eastAsia="es-ES"/>
        </w:rPr>
      </w:pPr>
      <w:r w:rsidRPr="00185583">
        <w:rPr>
          <w:rFonts w:ascii="Palatino Linotype" w:eastAsia="Times New Roman" w:hAnsi="Palatino Linotype" w:cs="Tahoma"/>
          <w:b/>
          <w:szCs w:val="20"/>
          <w:lang w:eastAsia="es-ES"/>
        </w:rPr>
        <w:t xml:space="preserve">Solicitud de Información </w:t>
      </w:r>
      <w:r w:rsidRPr="00185583">
        <w:rPr>
          <w:rFonts w:ascii="Palatino Linotype" w:eastAsia="Times New Roman" w:hAnsi="Palatino Linotype" w:cs="Tahoma"/>
          <w:b/>
          <w:bCs/>
          <w:szCs w:val="20"/>
          <w:lang w:eastAsia="es-ES"/>
        </w:rPr>
        <w:t>00064/VIGUERRE/IP/2018</w:t>
      </w:r>
      <w:r w:rsidRPr="00185583">
        <w:rPr>
          <w:rFonts w:ascii="Palatino Linotype" w:eastAsia="Times New Roman" w:hAnsi="Palatino Linotype" w:cs="Tahoma"/>
          <w:b/>
          <w:szCs w:val="20"/>
          <w:lang w:eastAsia="es-ES"/>
        </w:rPr>
        <w:t>:</w:t>
      </w:r>
    </w:p>
    <w:p w:rsidR="00185583" w:rsidRDefault="00185583" w:rsidP="00185583">
      <w:pPr>
        <w:tabs>
          <w:tab w:val="left" w:pos="4667"/>
        </w:tabs>
        <w:spacing w:after="0" w:line="360" w:lineRule="auto"/>
        <w:ind w:left="567" w:right="616"/>
        <w:jc w:val="both"/>
        <w:rPr>
          <w:rFonts w:ascii="Palatino Linotype" w:eastAsia="Times New Roman" w:hAnsi="Palatino Linotype" w:cs="Tahoma"/>
          <w:b/>
          <w:bCs/>
          <w:i/>
          <w:szCs w:val="20"/>
          <w:lang w:eastAsia="es-ES"/>
        </w:rPr>
      </w:pPr>
      <w:r w:rsidRPr="00185583">
        <w:rPr>
          <w:rFonts w:ascii="Palatino Linotype" w:eastAsia="Times New Roman" w:hAnsi="Palatino Linotype" w:cs="Tahoma"/>
          <w:b/>
          <w:bCs/>
          <w:i/>
          <w:szCs w:val="20"/>
          <w:lang w:eastAsia="es-ES"/>
        </w:rPr>
        <w:t>“</w:t>
      </w:r>
      <w:r w:rsidRPr="00185583">
        <w:rPr>
          <w:rFonts w:ascii="Palatino Linotype" w:eastAsia="Times New Roman" w:hAnsi="Palatino Linotype" w:cs="Tahoma"/>
          <w:bCs/>
          <w:i/>
          <w:szCs w:val="20"/>
          <w:lang w:eastAsia="es-ES"/>
        </w:rPr>
        <w:t xml:space="preserve">Se le solicita al Arq. Ignacio </w:t>
      </w:r>
      <w:proofErr w:type="spellStart"/>
      <w:r w:rsidRPr="00185583">
        <w:rPr>
          <w:rFonts w:ascii="Palatino Linotype" w:eastAsia="Times New Roman" w:hAnsi="Palatino Linotype" w:cs="Tahoma"/>
          <w:bCs/>
          <w:i/>
          <w:szCs w:val="20"/>
          <w:lang w:eastAsia="es-ES"/>
        </w:rPr>
        <w:t>Rogel</w:t>
      </w:r>
      <w:proofErr w:type="spellEnd"/>
      <w:r w:rsidRPr="00185583">
        <w:rPr>
          <w:rFonts w:ascii="Palatino Linotype" w:eastAsia="Times New Roman" w:hAnsi="Palatino Linotype" w:cs="Tahoma"/>
          <w:bCs/>
          <w:i/>
          <w:szCs w:val="20"/>
          <w:lang w:eastAsia="es-ES"/>
        </w:rPr>
        <w:t xml:space="preserve"> Cruz, Director de obras </w:t>
      </w:r>
      <w:proofErr w:type="spellStart"/>
      <w:r w:rsidRPr="00185583">
        <w:rPr>
          <w:rFonts w:ascii="Palatino Linotype" w:eastAsia="Times New Roman" w:hAnsi="Palatino Linotype" w:cs="Tahoma"/>
          <w:bCs/>
          <w:i/>
          <w:szCs w:val="20"/>
          <w:lang w:eastAsia="es-ES"/>
        </w:rPr>
        <w:t>publicas</w:t>
      </w:r>
      <w:proofErr w:type="spellEnd"/>
      <w:r w:rsidRPr="00185583">
        <w:rPr>
          <w:rFonts w:ascii="Palatino Linotype" w:eastAsia="Times New Roman" w:hAnsi="Palatino Linotype" w:cs="Tahoma"/>
          <w:bCs/>
          <w:i/>
          <w:szCs w:val="20"/>
          <w:lang w:eastAsia="es-ES"/>
        </w:rPr>
        <w:t xml:space="preserve"> del municipio de Villa Guerrero los expedientes a detalle del proceso y proyecto ejecutivo de los revestimientos de caminos de diferentes comunidades, </w:t>
      </w:r>
      <w:proofErr w:type="spellStart"/>
      <w:r w:rsidRPr="00185583">
        <w:rPr>
          <w:rFonts w:ascii="Palatino Linotype" w:eastAsia="Times New Roman" w:hAnsi="Palatino Linotype" w:cs="Tahoma"/>
          <w:bCs/>
          <w:i/>
          <w:szCs w:val="20"/>
          <w:lang w:eastAsia="es-ES"/>
        </w:rPr>
        <w:t>asi</w:t>
      </w:r>
      <w:proofErr w:type="spellEnd"/>
      <w:r w:rsidRPr="00185583">
        <w:rPr>
          <w:rFonts w:ascii="Palatino Linotype" w:eastAsia="Times New Roman" w:hAnsi="Palatino Linotype" w:cs="Tahoma"/>
          <w:bCs/>
          <w:i/>
          <w:szCs w:val="20"/>
          <w:lang w:eastAsia="es-ES"/>
        </w:rPr>
        <w:t xml:space="preserve"> como la asignación de contrato a la empresa ganadora de los años 2016, 2017 y lo que va del 2018.” (Sic.)</w:t>
      </w:r>
    </w:p>
    <w:p w:rsidR="00185583" w:rsidRPr="00185583" w:rsidRDefault="00185583" w:rsidP="00185583">
      <w:pPr>
        <w:tabs>
          <w:tab w:val="left" w:pos="4667"/>
        </w:tabs>
        <w:spacing w:after="0" w:line="360" w:lineRule="auto"/>
        <w:ind w:left="567" w:right="616"/>
        <w:jc w:val="both"/>
        <w:rPr>
          <w:rFonts w:ascii="Palatino Linotype" w:eastAsia="Times New Roman" w:hAnsi="Palatino Linotype" w:cs="Tahoma"/>
          <w:b/>
          <w:bCs/>
          <w:i/>
          <w:szCs w:val="20"/>
          <w:lang w:eastAsia="es-ES"/>
        </w:rPr>
      </w:pPr>
    </w:p>
    <w:p w:rsidR="00185583" w:rsidRPr="00185583" w:rsidRDefault="00185583" w:rsidP="00185583">
      <w:pPr>
        <w:tabs>
          <w:tab w:val="left" w:pos="4667"/>
        </w:tabs>
        <w:spacing w:after="0" w:line="360" w:lineRule="auto"/>
        <w:ind w:left="567" w:right="616"/>
        <w:jc w:val="both"/>
        <w:rPr>
          <w:rFonts w:ascii="Palatino Linotype" w:eastAsia="Times New Roman" w:hAnsi="Palatino Linotype" w:cs="Tahoma"/>
          <w:b/>
          <w:szCs w:val="20"/>
          <w:lang w:eastAsia="es-ES"/>
        </w:rPr>
      </w:pPr>
      <w:r w:rsidRPr="00185583">
        <w:rPr>
          <w:rFonts w:ascii="Palatino Linotype" w:eastAsia="Times New Roman" w:hAnsi="Palatino Linotype" w:cs="Tahoma"/>
          <w:b/>
          <w:szCs w:val="20"/>
          <w:lang w:eastAsia="es-ES"/>
        </w:rPr>
        <w:t xml:space="preserve">Solicitud de Información </w:t>
      </w:r>
      <w:r w:rsidRPr="00185583">
        <w:rPr>
          <w:rFonts w:ascii="Palatino Linotype" w:eastAsia="Times New Roman" w:hAnsi="Palatino Linotype" w:cs="Tahoma"/>
          <w:b/>
          <w:bCs/>
          <w:szCs w:val="20"/>
          <w:lang w:eastAsia="es-ES"/>
        </w:rPr>
        <w:t>00066/VIGUERRE/IP/2018</w:t>
      </w:r>
      <w:r w:rsidRPr="00185583">
        <w:rPr>
          <w:rFonts w:ascii="Palatino Linotype" w:eastAsia="Times New Roman" w:hAnsi="Palatino Linotype" w:cs="Tahoma"/>
          <w:b/>
          <w:szCs w:val="20"/>
          <w:lang w:eastAsia="es-ES"/>
        </w:rPr>
        <w:t>:</w:t>
      </w:r>
    </w:p>
    <w:p w:rsidR="00185583" w:rsidRPr="00185583" w:rsidRDefault="00185583" w:rsidP="00185583">
      <w:pPr>
        <w:tabs>
          <w:tab w:val="left" w:pos="4667"/>
        </w:tabs>
        <w:spacing w:after="0" w:line="360" w:lineRule="auto"/>
        <w:ind w:left="567" w:right="616"/>
        <w:jc w:val="both"/>
        <w:rPr>
          <w:rFonts w:ascii="Palatino Linotype" w:eastAsia="Times New Roman" w:hAnsi="Palatino Linotype" w:cs="Tahoma"/>
          <w:b/>
          <w:bCs/>
          <w:i/>
          <w:szCs w:val="20"/>
          <w:lang w:eastAsia="es-ES"/>
        </w:rPr>
      </w:pPr>
      <w:r w:rsidRPr="00185583">
        <w:rPr>
          <w:rFonts w:ascii="Palatino Linotype" w:eastAsia="Times New Roman" w:hAnsi="Palatino Linotype" w:cs="Tahoma"/>
          <w:b/>
          <w:bCs/>
          <w:i/>
          <w:szCs w:val="20"/>
          <w:lang w:eastAsia="es-ES"/>
        </w:rPr>
        <w:t>“</w:t>
      </w:r>
      <w:r w:rsidRPr="00185583">
        <w:rPr>
          <w:rFonts w:ascii="Palatino Linotype" w:eastAsia="Times New Roman" w:hAnsi="Palatino Linotype" w:cs="Tahoma"/>
          <w:bCs/>
          <w:i/>
          <w:szCs w:val="20"/>
          <w:lang w:eastAsia="es-ES"/>
        </w:rPr>
        <w:t xml:space="preserve">ARQUITECTO IGNACIO ROGEL CRUZ: solicito la certificación del instituto hacendario para desempeñar el cargo de director de obras públicas, así como también del </w:t>
      </w:r>
      <w:proofErr w:type="gramStart"/>
      <w:r w:rsidRPr="00185583">
        <w:rPr>
          <w:rFonts w:ascii="Palatino Linotype" w:eastAsia="Times New Roman" w:hAnsi="Palatino Linotype" w:cs="Tahoma"/>
          <w:bCs/>
          <w:i/>
          <w:szCs w:val="20"/>
          <w:lang w:eastAsia="es-ES"/>
        </w:rPr>
        <w:t>personal</w:t>
      </w:r>
      <w:proofErr w:type="gramEnd"/>
      <w:r w:rsidRPr="00185583">
        <w:rPr>
          <w:rFonts w:ascii="Palatino Linotype" w:eastAsia="Times New Roman" w:hAnsi="Palatino Linotype" w:cs="Tahoma"/>
          <w:bCs/>
          <w:i/>
          <w:szCs w:val="20"/>
          <w:lang w:eastAsia="es-ES"/>
        </w:rPr>
        <w:t xml:space="preserve"> que labora dentro del área supervisores analista de precios unitarios, y bitácora </w:t>
      </w:r>
      <w:r w:rsidRPr="00185583">
        <w:rPr>
          <w:rFonts w:ascii="Palatino Linotype" w:eastAsia="Times New Roman" w:hAnsi="Palatino Linotype" w:cs="Tahoma"/>
          <w:bCs/>
          <w:i/>
          <w:szCs w:val="20"/>
          <w:lang w:eastAsia="es-ES"/>
        </w:rPr>
        <w:lastRenderedPageBreak/>
        <w:t>de obra electrónica. Se solicita la programación de las obras autorizadas por cabildo con copias certificadas de las mismas y la ejecución de obras con sus debidos expedientes, proyectos ejecutivos, licitaciones, adjudicaciones, contratos, estimaciones, bitácoras, así como las actas de entrega recepción de las obras finiquitadas del periodo 2016, 2017 y 2018 de recursos estatales, federales y recursos propios.” (Sic.)</w:t>
      </w:r>
    </w:p>
    <w:p w:rsidR="00854590" w:rsidRPr="00072CF3" w:rsidRDefault="00854590" w:rsidP="00072CF3">
      <w:pPr>
        <w:tabs>
          <w:tab w:val="left" w:pos="4667"/>
        </w:tabs>
        <w:spacing w:after="0" w:line="360" w:lineRule="auto"/>
        <w:ind w:left="567" w:right="567"/>
        <w:jc w:val="both"/>
        <w:rPr>
          <w:rFonts w:ascii="Palatino Linotype" w:eastAsia="Times New Roman" w:hAnsi="Palatino Linotype" w:cs="Tahoma"/>
          <w:bCs/>
          <w:i/>
          <w:lang w:eastAsia="es-ES"/>
        </w:rPr>
      </w:pPr>
    </w:p>
    <w:p w:rsidR="00AE4797" w:rsidRPr="00C27EF9" w:rsidRDefault="00AE4797" w:rsidP="00A029A4">
      <w:pPr>
        <w:pStyle w:val="Prrafodelista"/>
        <w:numPr>
          <w:ilvl w:val="0"/>
          <w:numId w:val="1"/>
        </w:numPr>
        <w:spacing w:after="0" w:line="360" w:lineRule="auto"/>
        <w:ind w:left="0" w:firstLine="0"/>
        <w:jc w:val="both"/>
        <w:rPr>
          <w:rFonts w:ascii="Palatino Linotype" w:eastAsia="Times New Roman" w:hAnsi="Palatino Linotype" w:cs="Times New Roman"/>
          <w:i/>
          <w:sz w:val="24"/>
          <w:szCs w:val="24"/>
          <w:lang w:val="es-ES_tradnl" w:eastAsia="es-ES"/>
        </w:rPr>
      </w:pPr>
      <w:r w:rsidRPr="00C27EF9">
        <w:rPr>
          <w:rFonts w:ascii="Palatino Linotype" w:hAnsi="Palatino Linotype" w:cs="Arial"/>
          <w:sz w:val="24"/>
          <w:szCs w:val="24"/>
        </w:rPr>
        <w:t xml:space="preserve">El Sujeto Obligado </w:t>
      </w:r>
      <w:r w:rsidR="00444048" w:rsidRPr="00C27EF9">
        <w:rPr>
          <w:rFonts w:ascii="Palatino Linotype" w:hAnsi="Palatino Linotype" w:cs="Arial"/>
          <w:sz w:val="24"/>
          <w:szCs w:val="24"/>
        </w:rPr>
        <w:t>mediante</w:t>
      </w:r>
      <w:r w:rsidR="00854590">
        <w:rPr>
          <w:rFonts w:ascii="Palatino Linotype" w:hAnsi="Palatino Linotype" w:cs="Arial"/>
          <w:sz w:val="24"/>
          <w:szCs w:val="24"/>
        </w:rPr>
        <w:t xml:space="preserve"> el escrito siguiente dio</w:t>
      </w:r>
      <w:r w:rsidR="008D4B3A" w:rsidRPr="00C27EF9">
        <w:rPr>
          <w:rFonts w:ascii="Palatino Linotype" w:hAnsi="Palatino Linotype" w:cs="Arial"/>
          <w:sz w:val="24"/>
          <w:szCs w:val="24"/>
        </w:rPr>
        <w:t xml:space="preserve"> respuesta a</w:t>
      </w:r>
      <w:r w:rsidR="0005150A">
        <w:rPr>
          <w:rFonts w:ascii="Palatino Linotype" w:hAnsi="Palatino Linotype" w:cs="Arial"/>
          <w:sz w:val="24"/>
          <w:szCs w:val="24"/>
        </w:rPr>
        <w:t xml:space="preserve"> todas las </w:t>
      </w:r>
      <w:r w:rsidR="009156AC" w:rsidRPr="00C27EF9">
        <w:rPr>
          <w:rFonts w:ascii="Palatino Linotype" w:hAnsi="Palatino Linotype" w:cs="Arial"/>
          <w:sz w:val="24"/>
          <w:szCs w:val="24"/>
        </w:rPr>
        <w:t xml:space="preserve"> </w:t>
      </w:r>
      <w:r w:rsidRPr="00C27EF9">
        <w:rPr>
          <w:rFonts w:ascii="Palatino Linotype" w:hAnsi="Palatino Linotype" w:cs="Arial"/>
          <w:sz w:val="24"/>
          <w:szCs w:val="24"/>
        </w:rPr>
        <w:t>solicitud</w:t>
      </w:r>
      <w:r w:rsidR="00072CF3">
        <w:rPr>
          <w:rFonts w:ascii="Palatino Linotype" w:hAnsi="Palatino Linotype" w:cs="Arial"/>
          <w:sz w:val="24"/>
          <w:szCs w:val="24"/>
        </w:rPr>
        <w:t>es</w:t>
      </w:r>
      <w:r w:rsidR="009156AC" w:rsidRPr="00C27EF9">
        <w:rPr>
          <w:rFonts w:ascii="Palatino Linotype" w:hAnsi="Palatino Linotype" w:cs="Arial"/>
          <w:sz w:val="24"/>
          <w:szCs w:val="24"/>
        </w:rPr>
        <w:t xml:space="preserve"> de información</w:t>
      </w:r>
      <w:r w:rsidR="00854590">
        <w:rPr>
          <w:rFonts w:ascii="Palatino Linotype" w:hAnsi="Palatino Linotype" w:cs="Arial"/>
          <w:sz w:val="24"/>
          <w:szCs w:val="24"/>
        </w:rPr>
        <w:t xml:space="preserve">. </w:t>
      </w:r>
    </w:p>
    <w:p w:rsidR="003D7F3D" w:rsidRPr="00072CF3" w:rsidRDefault="003D7F3D" w:rsidP="003D7F3D">
      <w:pPr>
        <w:pStyle w:val="Prrafodelista"/>
        <w:spacing w:after="0" w:line="360" w:lineRule="auto"/>
        <w:ind w:left="0"/>
        <w:jc w:val="both"/>
        <w:rPr>
          <w:rFonts w:ascii="Palatino Linotype" w:eastAsia="Times New Roman" w:hAnsi="Palatino Linotype" w:cs="Times New Roman"/>
          <w:sz w:val="24"/>
          <w:szCs w:val="24"/>
          <w:lang w:val="es-ES_tradnl" w:eastAsia="es-ES"/>
        </w:rPr>
      </w:pPr>
    </w:p>
    <w:p w:rsidR="00185583" w:rsidRDefault="00854590" w:rsidP="00185583">
      <w:pPr>
        <w:pStyle w:val="Prrafodelista"/>
        <w:spacing w:after="0" w:line="360" w:lineRule="auto"/>
        <w:ind w:left="567" w:right="616"/>
        <w:jc w:val="both"/>
        <w:rPr>
          <w:rFonts w:ascii="Palatino Linotype" w:eastAsia="Times New Roman" w:hAnsi="Palatino Linotype" w:cs="Times New Roman"/>
          <w:i/>
          <w:sz w:val="24"/>
          <w:szCs w:val="24"/>
          <w:lang w:val="es-ES_tradnl" w:eastAsia="es-ES"/>
        </w:rPr>
      </w:pPr>
      <w:r>
        <w:rPr>
          <w:rFonts w:ascii="Palatino Linotype" w:eastAsia="Times New Roman" w:hAnsi="Palatino Linotype" w:cs="Times New Roman"/>
          <w:i/>
          <w:sz w:val="24"/>
          <w:szCs w:val="24"/>
          <w:lang w:val="es-ES_tradnl" w:eastAsia="es-ES"/>
        </w:rPr>
        <w:t>…“</w:t>
      </w:r>
      <w:r w:rsidR="00185583" w:rsidRPr="00185583">
        <w:t xml:space="preserve"> </w:t>
      </w:r>
      <w:r w:rsidR="00185583" w:rsidRPr="00185583">
        <w:rPr>
          <w:rFonts w:ascii="Palatino Linotype" w:eastAsia="Times New Roman" w:hAnsi="Palatino Linotype" w:cs="Times New Roman"/>
          <w:i/>
          <w:sz w:val="24"/>
          <w:szCs w:val="24"/>
          <w:lang w:val="es-ES_tradnl" w:eastAsia="es-ES"/>
        </w:rPr>
        <w:t>ESTIMADO SOLICITANTE: DE ACUERDO A SU SOLICITUD DE INFORMACIÓN ME PERMITO DAR RESPUESTA A LA MISMA, ESPERANDO SEA DE UTILIDAD Y ATIENDA SUS REQUERIMIENTOS ATENTAMENTE TITULAR DEL ÁREA DE TRANSPARENCIA DE ACCESO A LA INFORMACIÓN PÚBLICA Y DE DATOS PERSONALES</w:t>
      </w:r>
    </w:p>
    <w:p w:rsidR="00185583" w:rsidRPr="00185583" w:rsidRDefault="00185583" w:rsidP="00185583">
      <w:pPr>
        <w:pStyle w:val="Prrafodelista"/>
        <w:spacing w:after="0" w:line="360" w:lineRule="auto"/>
        <w:ind w:left="567" w:right="616"/>
        <w:jc w:val="both"/>
        <w:rPr>
          <w:rFonts w:ascii="Palatino Linotype" w:eastAsia="Times New Roman" w:hAnsi="Palatino Linotype" w:cs="Times New Roman"/>
          <w:i/>
          <w:sz w:val="24"/>
          <w:szCs w:val="24"/>
          <w:lang w:val="es-ES_tradnl" w:eastAsia="es-ES"/>
        </w:rPr>
      </w:pPr>
    </w:p>
    <w:p w:rsidR="00185583" w:rsidRPr="00185583" w:rsidRDefault="00185583" w:rsidP="00185583">
      <w:pPr>
        <w:pStyle w:val="Prrafodelista"/>
        <w:spacing w:after="0" w:line="360" w:lineRule="auto"/>
        <w:ind w:left="567" w:right="616"/>
        <w:jc w:val="both"/>
        <w:rPr>
          <w:rFonts w:ascii="Palatino Linotype" w:eastAsia="Times New Roman" w:hAnsi="Palatino Linotype" w:cs="Times New Roman"/>
          <w:i/>
          <w:sz w:val="24"/>
          <w:szCs w:val="24"/>
          <w:lang w:val="es-ES_tradnl" w:eastAsia="es-ES"/>
        </w:rPr>
      </w:pPr>
      <w:r w:rsidRPr="00185583">
        <w:rPr>
          <w:rFonts w:ascii="Palatino Linotype" w:eastAsia="Times New Roman" w:hAnsi="Palatino Linotype" w:cs="Times New Roman"/>
          <w:i/>
          <w:sz w:val="24"/>
          <w:szCs w:val="24"/>
          <w:lang w:val="es-ES_tradnl" w:eastAsia="es-ES"/>
        </w:rPr>
        <w:t>ATENTAMENTE</w:t>
      </w:r>
    </w:p>
    <w:p w:rsidR="00854590" w:rsidRPr="00185583" w:rsidRDefault="00185583" w:rsidP="00185583">
      <w:pPr>
        <w:pStyle w:val="Prrafodelista"/>
        <w:spacing w:after="0" w:line="360" w:lineRule="auto"/>
        <w:ind w:left="567" w:right="616"/>
        <w:jc w:val="both"/>
        <w:rPr>
          <w:rFonts w:ascii="Palatino Linotype" w:eastAsia="Times New Roman" w:hAnsi="Palatino Linotype" w:cs="Times New Roman"/>
          <w:i/>
          <w:sz w:val="24"/>
          <w:szCs w:val="24"/>
          <w:lang w:val="es-ES_tradnl" w:eastAsia="es-ES"/>
        </w:rPr>
      </w:pPr>
      <w:r>
        <w:rPr>
          <w:rFonts w:ascii="Palatino Linotype" w:eastAsia="Times New Roman" w:hAnsi="Palatino Linotype" w:cs="Times New Roman"/>
          <w:i/>
          <w:sz w:val="24"/>
          <w:szCs w:val="24"/>
          <w:lang w:val="es-ES_tradnl" w:eastAsia="es-ES"/>
        </w:rPr>
        <w:t xml:space="preserve">C. KARINA YOLANDA BERNAL SEGURA </w:t>
      </w:r>
      <w:r w:rsidR="00854590" w:rsidRPr="00185583">
        <w:rPr>
          <w:rFonts w:ascii="Palatino Linotype" w:eastAsia="Times New Roman" w:hAnsi="Palatino Linotype" w:cs="Times New Roman"/>
          <w:i/>
          <w:sz w:val="24"/>
          <w:szCs w:val="24"/>
          <w:lang w:val="es-ES_tradnl" w:eastAsia="es-ES"/>
        </w:rPr>
        <w:t xml:space="preserve"> (Sic)</w:t>
      </w:r>
    </w:p>
    <w:p w:rsidR="00854590" w:rsidRPr="00C27EF9" w:rsidRDefault="00854590" w:rsidP="00854590">
      <w:pPr>
        <w:pStyle w:val="Prrafodelista"/>
        <w:spacing w:after="0" w:line="360" w:lineRule="auto"/>
        <w:ind w:left="360"/>
        <w:jc w:val="both"/>
        <w:rPr>
          <w:rFonts w:ascii="Palatino Linotype" w:eastAsia="Times New Roman" w:hAnsi="Palatino Linotype" w:cs="Times New Roman"/>
          <w:i/>
          <w:sz w:val="24"/>
          <w:szCs w:val="24"/>
          <w:lang w:val="es-ES_tradnl" w:eastAsia="es-ES"/>
        </w:rPr>
      </w:pPr>
    </w:p>
    <w:p w:rsidR="00185583" w:rsidRPr="00D24398" w:rsidRDefault="003D7F3D" w:rsidP="00D24398">
      <w:pPr>
        <w:pStyle w:val="Prrafodelista"/>
        <w:numPr>
          <w:ilvl w:val="0"/>
          <w:numId w:val="1"/>
        </w:numPr>
        <w:spacing w:before="240" w:after="240" w:line="360" w:lineRule="auto"/>
        <w:jc w:val="both"/>
        <w:rPr>
          <w:rFonts w:ascii="Palatino Linotype" w:hAnsi="Palatino Linotype" w:cs="Arial"/>
          <w:sz w:val="24"/>
          <w:szCs w:val="24"/>
        </w:rPr>
      </w:pPr>
      <w:r w:rsidRPr="00C27EF9">
        <w:rPr>
          <w:rFonts w:ascii="Palatino Linotype" w:hAnsi="Palatino Linotype" w:cs="Arial"/>
          <w:sz w:val="24"/>
          <w:szCs w:val="24"/>
        </w:rPr>
        <w:t xml:space="preserve">A </w:t>
      </w:r>
      <w:r w:rsidR="00E64674" w:rsidRPr="00C27EF9">
        <w:rPr>
          <w:rFonts w:ascii="Palatino Linotype" w:hAnsi="Palatino Linotype" w:cs="Arial"/>
          <w:sz w:val="24"/>
          <w:szCs w:val="24"/>
        </w:rPr>
        <w:t>d</w:t>
      </w:r>
      <w:r w:rsidRPr="00C27EF9">
        <w:rPr>
          <w:rFonts w:ascii="Palatino Linotype" w:hAnsi="Palatino Linotype" w:cs="Arial"/>
          <w:sz w:val="24"/>
          <w:szCs w:val="24"/>
        </w:rPr>
        <w:t>icho escrito</w:t>
      </w:r>
      <w:r w:rsidR="0005150A">
        <w:rPr>
          <w:rFonts w:ascii="Palatino Linotype" w:hAnsi="Palatino Linotype" w:cs="Arial"/>
          <w:sz w:val="24"/>
          <w:szCs w:val="24"/>
        </w:rPr>
        <w:t>s</w:t>
      </w:r>
      <w:r w:rsidRPr="00C27EF9">
        <w:rPr>
          <w:rFonts w:ascii="Palatino Linotype" w:hAnsi="Palatino Linotype" w:cs="Arial"/>
          <w:sz w:val="24"/>
          <w:szCs w:val="24"/>
        </w:rPr>
        <w:t xml:space="preserve"> se acompañaron los siguientes documentos: </w:t>
      </w:r>
    </w:p>
    <w:p w:rsidR="006B3E32" w:rsidRDefault="00185583" w:rsidP="006B3E32">
      <w:pPr>
        <w:tabs>
          <w:tab w:val="left" w:pos="4667"/>
        </w:tabs>
        <w:spacing w:after="0" w:line="360" w:lineRule="auto"/>
        <w:ind w:left="567" w:right="616"/>
        <w:jc w:val="both"/>
        <w:rPr>
          <w:rFonts w:ascii="Palatino Linotype" w:eastAsia="Times New Roman" w:hAnsi="Palatino Linotype" w:cs="Tahoma"/>
          <w:b/>
          <w:szCs w:val="20"/>
          <w:lang w:eastAsia="es-ES"/>
        </w:rPr>
      </w:pPr>
      <w:r>
        <w:rPr>
          <w:rFonts w:ascii="Palatino Linotype" w:eastAsia="Times New Roman" w:hAnsi="Palatino Linotype" w:cs="Tahoma"/>
          <w:b/>
          <w:szCs w:val="20"/>
          <w:lang w:eastAsia="es-ES"/>
        </w:rPr>
        <w:t xml:space="preserve">Respuesta a la </w:t>
      </w:r>
      <w:r w:rsidRPr="00185583">
        <w:rPr>
          <w:rFonts w:ascii="Palatino Linotype" w:eastAsia="Times New Roman" w:hAnsi="Palatino Linotype" w:cs="Tahoma"/>
          <w:b/>
          <w:szCs w:val="20"/>
          <w:lang w:eastAsia="es-ES"/>
        </w:rPr>
        <w:t xml:space="preserve">Solicitud de Información </w:t>
      </w:r>
      <w:r w:rsidRPr="00185583">
        <w:rPr>
          <w:rFonts w:ascii="Palatino Linotype" w:eastAsia="Times New Roman" w:hAnsi="Palatino Linotype" w:cs="Tahoma"/>
          <w:b/>
          <w:bCs/>
          <w:szCs w:val="20"/>
          <w:lang w:eastAsia="es-ES"/>
        </w:rPr>
        <w:t>00064/VIGUERRE/IP/2018</w:t>
      </w:r>
      <w:r w:rsidRPr="00185583">
        <w:rPr>
          <w:rFonts w:ascii="Palatino Linotype" w:eastAsia="Times New Roman" w:hAnsi="Palatino Linotype" w:cs="Tahoma"/>
          <w:b/>
          <w:szCs w:val="20"/>
          <w:lang w:eastAsia="es-ES"/>
        </w:rPr>
        <w:t>:</w:t>
      </w:r>
    </w:p>
    <w:p w:rsidR="00D24398" w:rsidRDefault="00D24398" w:rsidP="006B3E32">
      <w:pPr>
        <w:tabs>
          <w:tab w:val="left" w:pos="4667"/>
        </w:tabs>
        <w:spacing w:after="0" w:line="360" w:lineRule="auto"/>
        <w:ind w:left="567" w:right="616"/>
        <w:jc w:val="both"/>
        <w:rPr>
          <w:rFonts w:ascii="Palatino Linotype" w:eastAsia="Times New Roman" w:hAnsi="Palatino Linotype" w:cs="Tahoma"/>
          <w:b/>
          <w:szCs w:val="20"/>
          <w:lang w:eastAsia="es-ES"/>
        </w:rPr>
      </w:pPr>
    </w:p>
    <w:p w:rsidR="00185583" w:rsidRPr="00D24398" w:rsidRDefault="006B3E32" w:rsidP="00185583">
      <w:pPr>
        <w:pStyle w:val="Prrafodelista"/>
        <w:numPr>
          <w:ilvl w:val="0"/>
          <w:numId w:val="17"/>
        </w:numPr>
        <w:tabs>
          <w:tab w:val="left" w:pos="567"/>
        </w:tabs>
        <w:spacing w:after="0" w:line="360" w:lineRule="auto"/>
        <w:ind w:left="567" w:right="616" w:firstLine="0"/>
        <w:jc w:val="both"/>
        <w:rPr>
          <w:rFonts w:ascii="Palatino Linotype" w:eastAsia="Times New Roman" w:hAnsi="Palatino Linotype" w:cs="Tahoma"/>
          <w:b/>
          <w:szCs w:val="20"/>
          <w:lang w:eastAsia="es-ES"/>
        </w:rPr>
      </w:pPr>
      <w:hyperlink r:id="rId8" w:tgtFrame="_blank" w:history="1">
        <w:r w:rsidRPr="006B3E32">
          <w:rPr>
            <w:rStyle w:val="Hipervnculo"/>
            <w:rFonts w:ascii="Palatino Linotype" w:hAnsi="Palatino Linotype" w:cs="Arial"/>
            <w:b/>
            <w:bCs/>
            <w:color w:val="000000" w:themeColor="text1"/>
            <w:sz w:val="24"/>
            <w:szCs w:val="24"/>
            <w:u w:val="none"/>
          </w:rPr>
          <w:t>00064.pdf</w:t>
        </w:r>
      </w:hyperlink>
      <w:r w:rsidRPr="006B3E32">
        <w:rPr>
          <w:rFonts w:ascii="Palatino Linotype" w:hAnsi="Palatino Linotype" w:cs="Arial"/>
          <w:b/>
          <w:bCs/>
          <w:color w:val="000000" w:themeColor="text1"/>
          <w:sz w:val="24"/>
          <w:szCs w:val="24"/>
        </w:rPr>
        <w:t xml:space="preserve">: </w:t>
      </w:r>
      <w:r w:rsidRPr="006B3E32">
        <w:rPr>
          <w:rFonts w:ascii="Palatino Linotype" w:hAnsi="Palatino Linotype" w:cs="Arial"/>
          <w:bCs/>
          <w:color w:val="000000" w:themeColor="text1"/>
          <w:sz w:val="24"/>
          <w:szCs w:val="24"/>
        </w:rPr>
        <w:t xml:space="preserve">Documento electrónico que en dos (02) hojas </w:t>
      </w:r>
      <w:r w:rsidRPr="006B3E32">
        <w:rPr>
          <w:rFonts w:ascii="Palatino Linotype" w:hAnsi="Palatino Linotype"/>
          <w:color w:val="000000" w:themeColor="text1"/>
          <w:sz w:val="24"/>
          <w:szCs w:val="24"/>
        </w:rPr>
        <w:t xml:space="preserve">contiene el oficio número 53/TRANS/2018 por medio del cual el Titular de la Unidad </w:t>
      </w:r>
      <w:r w:rsidRPr="006B3E32">
        <w:rPr>
          <w:rFonts w:ascii="Palatino Linotype" w:hAnsi="Palatino Linotype"/>
          <w:color w:val="000000" w:themeColor="text1"/>
          <w:sz w:val="24"/>
          <w:szCs w:val="24"/>
        </w:rPr>
        <w:lastRenderedPageBreak/>
        <w:t xml:space="preserve">de Transparencia pone a disposición del particular la respuesta otorgada por el servidor público habilitado y el oficio MVG/OP/97/2018 suscrito por el Director de Obras Públicas y dirigido al Titular de la Unidad de Transparencia, mediante el cual da respuesta a la solicitud de información realizada y refiere que la información solicitada se encuentra en el portal de Información Pública de Oficio Mexiquense (IPOMEX). </w:t>
      </w:r>
    </w:p>
    <w:p w:rsidR="00185583" w:rsidRPr="00185583" w:rsidRDefault="00185583" w:rsidP="00185583">
      <w:pPr>
        <w:tabs>
          <w:tab w:val="left" w:pos="4667"/>
        </w:tabs>
        <w:spacing w:after="0" w:line="360" w:lineRule="auto"/>
        <w:ind w:right="616"/>
        <w:jc w:val="both"/>
        <w:rPr>
          <w:rFonts w:ascii="Palatino Linotype" w:eastAsia="Times New Roman" w:hAnsi="Palatino Linotype" w:cs="Tahoma"/>
          <w:bCs/>
          <w:i/>
          <w:szCs w:val="20"/>
          <w:lang w:eastAsia="es-ES"/>
        </w:rPr>
      </w:pPr>
    </w:p>
    <w:p w:rsidR="00DC12EA" w:rsidRDefault="00185583" w:rsidP="00D24398">
      <w:pPr>
        <w:tabs>
          <w:tab w:val="left" w:pos="4667"/>
        </w:tabs>
        <w:spacing w:after="0" w:line="360" w:lineRule="auto"/>
        <w:ind w:left="567" w:right="616"/>
        <w:jc w:val="both"/>
        <w:rPr>
          <w:rFonts w:ascii="Palatino Linotype" w:eastAsia="Times New Roman" w:hAnsi="Palatino Linotype" w:cs="Tahoma"/>
          <w:b/>
          <w:szCs w:val="20"/>
          <w:lang w:eastAsia="es-ES"/>
        </w:rPr>
      </w:pPr>
      <w:r>
        <w:rPr>
          <w:rFonts w:ascii="Palatino Linotype" w:eastAsia="Times New Roman" w:hAnsi="Palatino Linotype" w:cs="Tahoma"/>
          <w:b/>
          <w:szCs w:val="20"/>
          <w:lang w:eastAsia="es-ES"/>
        </w:rPr>
        <w:t xml:space="preserve">Respuesta a la </w:t>
      </w:r>
      <w:r w:rsidRPr="00185583">
        <w:rPr>
          <w:rFonts w:ascii="Palatino Linotype" w:eastAsia="Times New Roman" w:hAnsi="Palatino Linotype" w:cs="Tahoma"/>
          <w:b/>
          <w:szCs w:val="20"/>
          <w:lang w:eastAsia="es-ES"/>
        </w:rPr>
        <w:t xml:space="preserve">Solicitud de Información </w:t>
      </w:r>
      <w:r w:rsidRPr="00185583">
        <w:rPr>
          <w:rFonts w:ascii="Palatino Linotype" w:eastAsia="Times New Roman" w:hAnsi="Palatino Linotype" w:cs="Tahoma"/>
          <w:b/>
          <w:bCs/>
          <w:szCs w:val="20"/>
          <w:lang w:eastAsia="es-ES"/>
        </w:rPr>
        <w:t>00066/VIGUERRE/IP/2018</w:t>
      </w:r>
      <w:r w:rsidRPr="00185583">
        <w:rPr>
          <w:rFonts w:ascii="Palatino Linotype" w:eastAsia="Times New Roman" w:hAnsi="Palatino Linotype" w:cs="Tahoma"/>
          <w:b/>
          <w:szCs w:val="20"/>
          <w:lang w:eastAsia="es-ES"/>
        </w:rPr>
        <w:t>:</w:t>
      </w:r>
    </w:p>
    <w:p w:rsidR="009C154D" w:rsidRPr="00D24398" w:rsidRDefault="009C154D" w:rsidP="00D24398">
      <w:pPr>
        <w:tabs>
          <w:tab w:val="left" w:pos="4667"/>
        </w:tabs>
        <w:spacing w:after="0" w:line="360" w:lineRule="auto"/>
        <w:ind w:left="567" w:right="616"/>
        <w:jc w:val="both"/>
        <w:rPr>
          <w:rFonts w:ascii="Palatino Linotype" w:eastAsia="Times New Roman" w:hAnsi="Palatino Linotype" w:cs="Tahoma"/>
          <w:b/>
          <w:szCs w:val="20"/>
          <w:lang w:eastAsia="es-ES"/>
        </w:rPr>
      </w:pPr>
    </w:p>
    <w:p w:rsidR="009C154D" w:rsidRPr="009C154D" w:rsidRDefault="006B3E32" w:rsidP="009C154D">
      <w:pPr>
        <w:pStyle w:val="Prrafodelista"/>
        <w:spacing w:before="240" w:after="240" w:line="360" w:lineRule="auto"/>
        <w:ind w:left="567" w:right="616"/>
        <w:contextualSpacing w:val="0"/>
        <w:jc w:val="both"/>
        <w:rPr>
          <w:rFonts w:ascii="Palatino Linotype" w:hAnsi="Palatino Linotype"/>
          <w:color w:val="000000" w:themeColor="text1"/>
          <w:sz w:val="24"/>
          <w:szCs w:val="24"/>
        </w:rPr>
      </w:pPr>
      <w:hyperlink r:id="rId9" w:tgtFrame="_blank" w:history="1">
        <w:r w:rsidRPr="006B3E32">
          <w:rPr>
            <w:rStyle w:val="Hipervnculo"/>
            <w:rFonts w:ascii="Palatino Linotype" w:hAnsi="Palatino Linotype"/>
            <w:b/>
            <w:bCs/>
            <w:color w:val="000000" w:themeColor="text1"/>
            <w:sz w:val="24"/>
            <w:szCs w:val="24"/>
            <w:u w:val="none"/>
          </w:rPr>
          <w:t>00066</w:t>
        </w:r>
        <w:proofErr w:type="gramStart"/>
        <w:r w:rsidRPr="006B3E32">
          <w:rPr>
            <w:rStyle w:val="Hipervnculo"/>
            <w:rFonts w:ascii="Palatino Linotype" w:hAnsi="Palatino Linotype"/>
            <w:b/>
            <w:bCs/>
            <w:color w:val="000000" w:themeColor="text1"/>
            <w:sz w:val="24"/>
            <w:szCs w:val="24"/>
            <w:u w:val="none"/>
          </w:rPr>
          <w:t>.pdf</w:t>
        </w:r>
        <w:proofErr w:type="gramEnd"/>
      </w:hyperlink>
      <w:r w:rsidR="00D32E91">
        <w:rPr>
          <w:rFonts w:ascii="Palatino Linotype" w:hAnsi="Palatino Linotype"/>
          <w:color w:val="000000" w:themeColor="text1"/>
          <w:sz w:val="24"/>
          <w:szCs w:val="24"/>
        </w:rPr>
        <w:t xml:space="preserve">: Documento electrónico que en </w:t>
      </w:r>
      <w:r>
        <w:rPr>
          <w:rFonts w:ascii="Palatino Linotype" w:hAnsi="Palatino Linotype"/>
          <w:color w:val="000000" w:themeColor="text1"/>
          <w:sz w:val="24"/>
          <w:szCs w:val="24"/>
        </w:rPr>
        <w:t>seis (06</w:t>
      </w:r>
      <w:r w:rsidR="00D32E91">
        <w:rPr>
          <w:rFonts w:ascii="Palatino Linotype" w:hAnsi="Palatino Linotype"/>
          <w:color w:val="000000" w:themeColor="text1"/>
          <w:sz w:val="24"/>
          <w:szCs w:val="24"/>
        </w:rPr>
        <w:t>) hojas contiene</w:t>
      </w:r>
      <w:r>
        <w:rPr>
          <w:rFonts w:ascii="Palatino Linotype" w:hAnsi="Palatino Linotype"/>
          <w:color w:val="000000" w:themeColor="text1"/>
          <w:sz w:val="24"/>
          <w:szCs w:val="24"/>
        </w:rPr>
        <w:t>:</w:t>
      </w:r>
    </w:p>
    <w:p w:rsidR="006B3E32" w:rsidRDefault="006B3E32" w:rsidP="006B3E32">
      <w:pPr>
        <w:pStyle w:val="Prrafodelista"/>
        <w:numPr>
          <w:ilvl w:val="0"/>
          <w:numId w:val="17"/>
        </w:numPr>
        <w:spacing w:before="240" w:after="240" w:line="360" w:lineRule="auto"/>
        <w:ind w:right="616"/>
        <w:contextualSpacing w:val="0"/>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t xml:space="preserve">El oficio 55/TRANS/2018 suscrito por la Encargada de la Unidad de Transparencia y Acceso a la Información Pública y Datos Personales dirigido al particular, mediante el cual </w:t>
      </w:r>
      <w:r w:rsidR="004E7E17">
        <w:rPr>
          <w:rFonts w:ascii="Palatino Linotype" w:hAnsi="Palatino Linotype" w:cs="Arial"/>
          <w:color w:val="000000" w:themeColor="text1"/>
          <w:sz w:val="24"/>
          <w:szCs w:val="24"/>
        </w:rPr>
        <w:t xml:space="preserve">pone a disposición la información entregada por el servidor público habilitado. </w:t>
      </w:r>
    </w:p>
    <w:p w:rsidR="004E7E17" w:rsidRDefault="004E7E17" w:rsidP="006B3E32">
      <w:pPr>
        <w:pStyle w:val="Prrafodelista"/>
        <w:numPr>
          <w:ilvl w:val="0"/>
          <w:numId w:val="17"/>
        </w:numPr>
        <w:spacing w:before="240" w:after="240" w:line="360" w:lineRule="auto"/>
        <w:ind w:right="616"/>
        <w:contextualSpacing w:val="0"/>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t xml:space="preserve">El oficio MVG/OP/10/099/18 suscrito por el Director de Obras Públicas en su calidad de servidor público habilitado mediante el cual da respuesta a </w:t>
      </w:r>
      <w:proofErr w:type="gramStart"/>
      <w:r>
        <w:rPr>
          <w:rFonts w:ascii="Palatino Linotype" w:hAnsi="Palatino Linotype" w:cs="Arial"/>
          <w:color w:val="000000" w:themeColor="text1"/>
          <w:sz w:val="24"/>
          <w:szCs w:val="24"/>
        </w:rPr>
        <w:t>la solicitudes de información realizadas</w:t>
      </w:r>
      <w:proofErr w:type="gramEnd"/>
      <w:r>
        <w:rPr>
          <w:rFonts w:ascii="Palatino Linotype" w:hAnsi="Palatino Linotype" w:cs="Arial"/>
          <w:color w:val="000000" w:themeColor="text1"/>
          <w:sz w:val="24"/>
          <w:szCs w:val="24"/>
        </w:rPr>
        <w:t xml:space="preserve">. </w:t>
      </w:r>
    </w:p>
    <w:p w:rsidR="004E7E17" w:rsidRDefault="004E7E17" w:rsidP="006B3E32">
      <w:pPr>
        <w:pStyle w:val="Prrafodelista"/>
        <w:numPr>
          <w:ilvl w:val="0"/>
          <w:numId w:val="17"/>
        </w:numPr>
        <w:spacing w:before="240" w:after="240" w:line="360" w:lineRule="auto"/>
        <w:ind w:right="616"/>
        <w:contextualSpacing w:val="0"/>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t xml:space="preserve">Certificado emitido por el Gobierno del Estado de México y el Colegio de Arquitectos del Estado de México A.C., mediante el </w:t>
      </w:r>
      <w:r>
        <w:rPr>
          <w:rFonts w:ascii="Palatino Linotype" w:hAnsi="Palatino Linotype" w:cs="Arial"/>
          <w:color w:val="000000" w:themeColor="text1"/>
          <w:sz w:val="24"/>
          <w:szCs w:val="24"/>
        </w:rPr>
        <w:lastRenderedPageBreak/>
        <w:t xml:space="preserve">cual se demuestra que el servidor público referido en la solicitudes tiene los conocimientos y habilidades  exigibles en el Reglamento del Libro Décimo Segundo del Código administrativo del estado de México en el área de Precios Unitarios. </w:t>
      </w:r>
    </w:p>
    <w:p w:rsidR="004E7E17" w:rsidRDefault="004E7E17" w:rsidP="004E7E17">
      <w:pPr>
        <w:numPr>
          <w:ilvl w:val="0"/>
          <w:numId w:val="17"/>
        </w:numPr>
        <w:spacing w:before="240" w:after="240" w:line="360" w:lineRule="auto"/>
        <w:ind w:right="616"/>
        <w:jc w:val="both"/>
        <w:rPr>
          <w:rFonts w:ascii="Palatino Linotype" w:hAnsi="Palatino Linotype" w:cs="Arial"/>
          <w:color w:val="000000" w:themeColor="text1"/>
          <w:sz w:val="24"/>
          <w:szCs w:val="24"/>
        </w:rPr>
      </w:pPr>
      <w:r w:rsidRPr="004E7E17">
        <w:rPr>
          <w:rFonts w:ascii="Palatino Linotype" w:hAnsi="Palatino Linotype" w:cs="Arial"/>
          <w:color w:val="000000" w:themeColor="text1"/>
          <w:sz w:val="24"/>
          <w:szCs w:val="24"/>
        </w:rPr>
        <w:t>Certificado emitido por el Gobierno del Estado de México y el Colegio de Arquitectos del Estado de México A.C., mediante el cual se demuestra que el servidor público referido en la solicitudes tiene los conocimientos y habilidades  exigibles en el Reglamento del Libro Décimo Segundo del Código administrativo del estado de México en el área de</w:t>
      </w:r>
      <w:r>
        <w:rPr>
          <w:rFonts w:ascii="Palatino Linotype" w:hAnsi="Palatino Linotype" w:cs="Arial"/>
          <w:color w:val="000000" w:themeColor="text1"/>
          <w:sz w:val="24"/>
          <w:szCs w:val="24"/>
        </w:rPr>
        <w:t xml:space="preserve"> Supervisión y  Residencia de Obra. </w:t>
      </w:r>
    </w:p>
    <w:p w:rsidR="004E7E17" w:rsidRDefault="004E7E17" w:rsidP="004E7E17">
      <w:pPr>
        <w:numPr>
          <w:ilvl w:val="0"/>
          <w:numId w:val="17"/>
        </w:numPr>
        <w:spacing w:before="240" w:after="240" w:line="360" w:lineRule="auto"/>
        <w:ind w:right="616"/>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t xml:space="preserve">Constancia emitida por la Secretaría de la Contraloría del Estado de México mediante la cual se acredita que el servidor público referido en la solicitud participó en el curso:  </w:t>
      </w:r>
      <w:r w:rsidRPr="004E7E17">
        <w:rPr>
          <w:rFonts w:ascii="Palatino Linotype" w:hAnsi="Palatino Linotype" w:cs="Arial"/>
          <w:color w:val="000000" w:themeColor="text1"/>
          <w:sz w:val="24"/>
          <w:szCs w:val="24"/>
        </w:rPr>
        <w:t xml:space="preserve"> </w:t>
      </w:r>
      <w:r>
        <w:rPr>
          <w:rFonts w:ascii="Palatino Linotype" w:hAnsi="Palatino Linotype" w:cs="Arial"/>
          <w:color w:val="000000" w:themeColor="text1"/>
          <w:sz w:val="24"/>
          <w:szCs w:val="24"/>
        </w:rPr>
        <w:t xml:space="preserve">Introducción al sistema de Bitácora Electrónica de Obra Pública para la Administración Pública Federal. </w:t>
      </w:r>
    </w:p>
    <w:p w:rsidR="006B3E32" w:rsidRPr="00A677FE" w:rsidRDefault="004E7E17" w:rsidP="00A677FE">
      <w:pPr>
        <w:numPr>
          <w:ilvl w:val="0"/>
          <w:numId w:val="17"/>
        </w:numPr>
        <w:spacing w:before="240" w:after="240" w:line="360" w:lineRule="auto"/>
        <w:ind w:right="616"/>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t xml:space="preserve">Oficio sin número </w:t>
      </w:r>
      <w:r w:rsidR="00A677FE">
        <w:rPr>
          <w:rFonts w:ascii="Palatino Linotype" w:hAnsi="Palatino Linotype" w:cs="Arial"/>
          <w:color w:val="000000" w:themeColor="text1"/>
          <w:sz w:val="24"/>
          <w:szCs w:val="24"/>
        </w:rPr>
        <w:t xml:space="preserve">emitido por el Instituto Hacendario del Estado de México mediante el cual se refiere que el servidor público señalado en la solicitud se encuentra participando en los procesos de evaluación para la certificación con base en el NICL “Construcción y Mantenimiento de la Infraestructura Pública Municipal”. </w:t>
      </w:r>
    </w:p>
    <w:p w:rsidR="00444048" w:rsidRDefault="0046491C" w:rsidP="00B601AF">
      <w:pPr>
        <w:pStyle w:val="Prrafodelista"/>
        <w:numPr>
          <w:ilvl w:val="0"/>
          <w:numId w:val="1"/>
        </w:numPr>
        <w:spacing w:before="240" w:after="240" w:line="360" w:lineRule="auto"/>
        <w:ind w:left="0" w:firstLine="0"/>
        <w:jc w:val="both"/>
        <w:rPr>
          <w:rFonts w:ascii="Palatino Linotype" w:hAnsi="Palatino Linotype" w:cs="Arial"/>
          <w:sz w:val="24"/>
          <w:szCs w:val="24"/>
        </w:rPr>
      </w:pPr>
      <w:r w:rsidRPr="00B601AF">
        <w:rPr>
          <w:rFonts w:ascii="Palatino Linotype" w:hAnsi="Palatino Linotype" w:cs="Arial"/>
          <w:sz w:val="24"/>
          <w:szCs w:val="24"/>
        </w:rPr>
        <w:lastRenderedPageBreak/>
        <w:t>En ese sentido,</w:t>
      </w:r>
      <w:r w:rsidRPr="00B601AF">
        <w:rPr>
          <w:rFonts w:ascii="Palatino Linotype" w:hAnsi="Palatino Linotype" w:cs="Arial"/>
          <w:b/>
          <w:sz w:val="24"/>
          <w:szCs w:val="24"/>
        </w:rPr>
        <w:t xml:space="preserve"> </w:t>
      </w:r>
      <w:r w:rsidR="00AE4797" w:rsidRPr="00B601AF">
        <w:rPr>
          <w:rFonts w:ascii="Palatino Linotype" w:hAnsi="Palatino Linotype" w:cs="Arial"/>
          <w:sz w:val="24"/>
          <w:szCs w:val="24"/>
        </w:rPr>
        <w:t>el particular</w:t>
      </w:r>
      <w:r w:rsidR="005F3760" w:rsidRPr="00B601AF">
        <w:rPr>
          <w:rFonts w:ascii="Palatino Linotype" w:hAnsi="Palatino Linotype" w:cs="Arial"/>
          <w:sz w:val="24"/>
          <w:szCs w:val="24"/>
        </w:rPr>
        <w:t xml:space="preserve"> en sus motivos de inconformidad, ya no se duele por la totalidad de la información que le fue propo</w:t>
      </w:r>
      <w:r w:rsidR="00A677FE">
        <w:rPr>
          <w:rFonts w:ascii="Palatino Linotype" w:hAnsi="Palatino Linotype" w:cs="Arial"/>
          <w:sz w:val="24"/>
          <w:szCs w:val="24"/>
        </w:rPr>
        <w:t xml:space="preserve">rcionada, se queja únicamente de la modalidad de entrega de la información. </w:t>
      </w:r>
    </w:p>
    <w:p w:rsidR="00B601AF" w:rsidRPr="00B601AF" w:rsidRDefault="00B601AF" w:rsidP="00B601AF">
      <w:pPr>
        <w:pStyle w:val="Prrafodelista"/>
        <w:spacing w:before="240" w:after="240" w:line="360" w:lineRule="auto"/>
        <w:ind w:left="360"/>
        <w:jc w:val="both"/>
        <w:rPr>
          <w:rFonts w:ascii="Palatino Linotype" w:hAnsi="Palatino Linotype" w:cs="Arial"/>
          <w:sz w:val="24"/>
          <w:szCs w:val="24"/>
        </w:rPr>
      </w:pPr>
    </w:p>
    <w:p w:rsidR="00B601AF" w:rsidRDefault="0046491C" w:rsidP="00B601AF">
      <w:pPr>
        <w:pStyle w:val="Prrafodelista"/>
        <w:numPr>
          <w:ilvl w:val="0"/>
          <w:numId w:val="1"/>
        </w:numPr>
        <w:spacing w:after="0" w:line="360" w:lineRule="auto"/>
        <w:ind w:left="0" w:firstLine="0"/>
        <w:jc w:val="both"/>
        <w:rPr>
          <w:rFonts w:ascii="Palatino Linotype" w:hAnsi="Palatino Linotype" w:cs="Arial"/>
          <w:sz w:val="24"/>
          <w:szCs w:val="24"/>
        </w:rPr>
      </w:pPr>
      <w:r w:rsidRPr="00C27EF9">
        <w:rPr>
          <w:rFonts w:ascii="Palatino Linotype" w:hAnsi="Palatino Linotype" w:cs="Arial"/>
          <w:sz w:val="24"/>
          <w:szCs w:val="24"/>
        </w:rPr>
        <w:t xml:space="preserve">Si bien es de destacar, </w:t>
      </w:r>
      <w:r w:rsidR="00C91360" w:rsidRPr="00C27EF9">
        <w:rPr>
          <w:rFonts w:ascii="Palatino Linotype" w:hAnsi="Palatino Linotype" w:cs="Arial"/>
          <w:sz w:val="24"/>
          <w:szCs w:val="24"/>
        </w:rPr>
        <w:t xml:space="preserve">que </w:t>
      </w:r>
      <w:r w:rsidR="005F3760" w:rsidRPr="00C27EF9">
        <w:rPr>
          <w:rFonts w:ascii="Palatino Linotype" w:hAnsi="Palatino Linotype" w:cs="Arial"/>
          <w:sz w:val="24"/>
          <w:szCs w:val="24"/>
        </w:rPr>
        <w:t xml:space="preserve">el Sujeto Obligado </w:t>
      </w:r>
      <w:r w:rsidR="004C76D7" w:rsidRPr="00C27EF9">
        <w:rPr>
          <w:rFonts w:ascii="Palatino Linotype" w:hAnsi="Palatino Linotype" w:cs="Arial"/>
          <w:sz w:val="24"/>
          <w:szCs w:val="24"/>
        </w:rPr>
        <w:t>pretende atender</w:t>
      </w:r>
      <w:r w:rsidR="005F3760" w:rsidRPr="00C27EF9">
        <w:rPr>
          <w:rFonts w:ascii="Palatino Linotype" w:hAnsi="Palatino Linotype" w:cs="Arial"/>
          <w:sz w:val="24"/>
          <w:szCs w:val="24"/>
        </w:rPr>
        <w:t xml:space="preserve">  la solicitud</w:t>
      </w:r>
      <w:r w:rsidR="002921DD" w:rsidRPr="00C27EF9">
        <w:rPr>
          <w:rFonts w:ascii="Palatino Linotype" w:hAnsi="Palatino Linotype" w:cs="Arial"/>
          <w:sz w:val="24"/>
          <w:szCs w:val="24"/>
        </w:rPr>
        <w:t xml:space="preserve"> de información realizada</w:t>
      </w:r>
      <w:r w:rsidR="00AE4797" w:rsidRPr="00C27EF9">
        <w:rPr>
          <w:rFonts w:ascii="Palatino Linotype" w:hAnsi="Palatino Linotype" w:cs="Arial"/>
          <w:sz w:val="24"/>
          <w:szCs w:val="24"/>
        </w:rPr>
        <w:t xml:space="preserve">, </w:t>
      </w:r>
      <w:r w:rsidRPr="00C27EF9">
        <w:rPr>
          <w:rFonts w:ascii="Palatino Linotype" w:hAnsi="Palatino Linotype" w:cs="Arial"/>
          <w:sz w:val="24"/>
          <w:szCs w:val="24"/>
        </w:rPr>
        <w:t>en el estudio y desarrollo de dicha resolución fueron invocados los llamados actos consentidos, tal y como se observa en las siguientes líneas de la resolución en comento:</w:t>
      </w:r>
    </w:p>
    <w:p w:rsidR="00D97434" w:rsidRPr="00D97434" w:rsidRDefault="00D97434" w:rsidP="00D97434">
      <w:pPr>
        <w:pStyle w:val="Prrafodelista"/>
        <w:spacing w:after="0" w:line="360" w:lineRule="auto"/>
        <w:ind w:left="0"/>
        <w:jc w:val="both"/>
        <w:rPr>
          <w:rFonts w:ascii="Palatino Linotype" w:hAnsi="Palatino Linotype" w:cs="Arial"/>
          <w:sz w:val="24"/>
          <w:szCs w:val="24"/>
        </w:rPr>
      </w:pPr>
    </w:p>
    <w:p w:rsidR="00A677FE" w:rsidRPr="00A677FE" w:rsidRDefault="0069498B" w:rsidP="00A677FE">
      <w:pPr>
        <w:tabs>
          <w:tab w:val="left" w:pos="4962"/>
        </w:tabs>
        <w:spacing w:line="276" w:lineRule="auto"/>
        <w:ind w:left="567" w:right="616"/>
        <w:jc w:val="both"/>
        <w:rPr>
          <w:rFonts w:ascii="Palatino Linotype" w:hAnsi="Palatino Linotype" w:cs="Arial"/>
          <w:i/>
          <w:iCs/>
          <w:lang w:val="es-ES"/>
        </w:rPr>
      </w:pPr>
      <w:r w:rsidRPr="00B601AF">
        <w:rPr>
          <w:rFonts w:ascii="Palatino Linotype" w:hAnsi="Palatino Linotype" w:cs="Arial"/>
          <w:i/>
        </w:rPr>
        <w:t>“</w:t>
      </w:r>
      <w:r w:rsidR="00A677FE" w:rsidRPr="00A677FE">
        <w:rPr>
          <w:rFonts w:ascii="Palatino Linotype" w:hAnsi="Palatino Linotype" w:cs="Arial"/>
          <w:i/>
        </w:rPr>
        <w:t>Finalmente, respecto al punto 3, precisó que la información constaba de doscientas cincuenta mil hojas, que equivalían a cincuenta cajas de hojas y cinco cartuchos de tóner para copiadora de la marca RICOH; además le precisó que para entregar las copias certificadas de dicha información requería el pago correspondiente, mismo que se tenía que realizar en el área de ingresos de la Tesorería Municipal, en términos del artículo 73 del Código Financieros del Estado de México y Municipios.</w:t>
      </w:r>
    </w:p>
    <w:p w:rsidR="00A677FE" w:rsidRPr="00A677FE" w:rsidRDefault="00A677FE" w:rsidP="00A677FE">
      <w:pPr>
        <w:tabs>
          <w:tab w:val="left" w:pos="4962"/>
        </w:tabs>
        <w:spacing w:line="276" w:lineRule="auto"/>
        <w:ind w:left="567" w:right="616"/>
        <w:jc w:val="both"/>
        <w:rPr>
          <w:rFonts w:ascii="Palatino Linotype" w:hAnsi="Palatino Linotype" w:cs="Arial"/>
          <w:i/>
          <w:iCs/>
          <w:lang w:val="es-ES"/>
        </w:rPr>
      </w:pPr>
    </w:p>
    <w:p w:rsidR="00A677FE" w:rsidRPr="00A677FE" w:rsidRDefault="00A677FE" w:rsidP="00A677FE">
      <w:pPr>
        <w:tabs>
          <w:tab w:val="left" w:pos="4962"/>
        </w:tabs>
        <w:spacing w:line="276" w:lineRule="auto"/>
        <w:ind w:left="567" w:right="616"/>
        <w:jc w:val="both"/>
        <w:rPr>
          <w:rFonts w:ascii="Palatino Linotype" w:hAnsi="Palatino Linotype" w:cs="Arial"/>
          <w:i/>
          <w:iCs/>
          <w:lang w:val="es-ES"/>
        </w:rPr>
      </w:pPr>
      <w:r w:rsidRPr="00A677FE">
        <w:rPr>
          <w:rFonts w:ascii="Palatino Linotype" w:hAnsi="Palatino Linotype" w:cs="Arial"/>
          <w:i/>
          <w:iCs/>
          <w:lang w:val="es-ES"/>
        </w:rPr>
        <w:t>Ante la respuesta previamente descrita, la Recurrente presentó dos Recursos de Revisión, en donde se inconformó de lo siguiente:</w:t>
      </w:r>
    </w:p>
    <w:p w:rsidR="00A677FE" w:rsidRPr="00A677FE" w:rsidRDefault="00A677FE" w:rsidP="00A677FE">
      <w:pPr>
        <w:tabs>
          <w:tab w:val="left" w:pos="4962"/>
        </w:tabs>
        <w:spacing w:line="276" w:lineRule="auto"/>
        <w:ind w:left="567" w:right="616"/>
        <w:jc w:val="both"/>
        <w:rPr>
          <w:rFonts w:ascii="Palatino Linotype" w:hAnsi="Palatino Linotype" w:cs="Arial"/>
          <w:i/>
          <w:iCs/>
          <w:lang w:val="es-ES"/>
        </w:rPr>
      </w:pPr>
    </w:p>
    <w:p w:rsidR="00A677FE" w:rsidRPr="00A677FE" w:rsidRDefault="00A677FE" w:rsidP="00A677FE">
      <w:pPr>
        <w:numPr>
          <w:ilvl w:val="0"/>
          <w:numId w:val="18"/>
        </w:numPr>
        <w:tabs>
          <w:tab w:val="left" w:pos="4962"/>
        </w:tabs>
        <w:spacing w:line="276" w:lineRule="auto"/>
        <w:ind w:right="616"/>
        <w:jc w:val="both"/>
        <w:rPr>
          <w:rFonts w:ascii="Palatino Linotype" w:hAnsi="Palatino Linotype" w:cs="Arial"/>
          <w:i/>
          <w:iCs/>
          <w:lang w:val="es-ES"/>
        </w:rPr>
      </w:pPr>
      <w:r w:rsidRPr="00A677FE">
        <w:rPr>
          <w:rFonts w:ascii="Palatino Linotype" w:hAnsi="Palatino Linotype" w:cs="Arial"/>
          <w:i/>
          <w:iCs/>
          <w:lang w:val="es-ES"/>
        </w:rPr>
        <w:t>Respecto al punto uno, señaló que únicamente se le proporcionó la información del dos mil dieciséis, por lo que, había omitido proporcionar la información respecto a los años dos mil diecisiete y dos mil dieciocho.</w:t>
      </w:r>
    </w:p>
    <w:p w:rsidR="00A677FE" w:rsidRPr="00A677FE" w:rsidRDefault="00A677FE" w:rsidP="00A677FE">
      <w:pPr>
        <w:tabs>
          <w:tab w:val="left" w:pos="4962"/>
        </w:tabs>
        <w:spacing w:line="276" w:lineRule="auto"/>
        <w:ind w:left="567" w:right="616"/>
        <w:jc w:val="both"/>
        <w:rPr>
          <w:rFonts w:ascii="Palatino Linotype" w:hAnsi="Palatino Linotype" w:cs="Arial"/>
          <w:i/>
          <w:iCs/>
          <w:lang w:val="es-ES"/>
        </w:rPr>
      </w:pPr>
    </w:p>
    <w:p w:rsidR="00A677FE" w:rsidRPr="00A677FE" w:rsidRDefault="00A677FE" w:rsidP="00A677FE">
      <w:pPr>
        <w:numPr>
          <w:ilvl w:val="0"/>
          <w:numId w:val="18"/>
        </w:numPr>
        <w:tabs>
          <w:tab w:val="left" w:pos="4962"/>
        </w:tabs>
        <w:spacing w:line="276" w:lineRule="auto"/>
        <w:ind w:right="616"/>
        <w:jc w:val="both"/>
        <w:rPr>
          <w:rFonts w:ascii="Palatino Linotype" w:hAnsi="Palatino Linotype" w:cs="Arial"/>
          <w:bCs/>
          <w:i/>
          <w:iCs/>
        </w:rPr>
      </w:pPr>
      <w:r w:rsidRPr="00A677FE">
        <w:rPr>
          <w:rFonts w:ascii="Palatino Linotype" w:hAnsi="Palatino Linotype" w:cs="Arial"/>
          <w:i/>
          <w:iCs/>
          <w:lang w:val="es-ES"/>
        </w:rPr>
        <w:t xml:space="preserve">Con relación al punto tres, </w:t>
      </w:r>
      <w:r w:rsidRPr="00A677FE">
        <w:rPr>
          <w:rFonts w:ascii="Palatino Linotype" w:hAnsi="Palatino Linotype" w:cs="Arial"/>
          <w:bCs/>
          <w:i/>
          <w:iCs/>
        </w:rPr>
        <w:t xml:space="preserve">aplicando suplencia de la queja a favor de la Solicitante, en términos del penúltimo párrafo, del artículo 191 de la Ley de Transparencia y Acceso </w:t>
      </w:r>
      <w:r w:rsidRPr="00A677FE">
        <w:rPr>
          <w:rFonts w:ascii="Palatino Linotype" w:hAnsi="Palatino Linotype" w:cs="Arial"/>
          <w:bCs/>
          <w:i/>
          <w:iCs/>
        </w:rPr>
        <w:lastRenderedPageBreak/>
        <w:t>a la Información Pública del Estado de México y Municipios, se advierte que se inconformó con la modalidad de entrega de la información, al señalar que proporcionaría una USB a la Unidad de Transparencia, para que se le entregue la programación de obras autorizadas por cabildo, ejecución de obras con sus debidos expedientes, proyectos ejecutivos, licitaciones, adjudicaciones, contratos, estimaciones, bitácoras, actas de entrega a recepción de obras finiquitadas, del dos mil dieciséis al veintiséis de septiembre de dos mil dieciocho.</w:t>
      </w:r>
    </w:p>
    <w:p w:rsidR="00A677FE" w:rsidRPr="00A677FE" w:rsidRDefault="00A677FE" w:rsidP="00A677FE">
      <w:pPr>
        <w:tabs>
          <w:tab w:val="left" w:pos="4962"/>
        </w:tabs>
        <w:spacing w:line="276" w:lineRule="auto"/>
        <w:ind w:left="567" w:right="616"/>
        <w:jc w:val="both"/>
        <w:rPr>
          <w:rFonts w:ascii="Palatino Linotype" w:hAnsi="Palatino Linotype" w:cs="Arial"/>
          <w:i/>
          <w:iCs/>
          <w:lang w:val="es-ES"/>
        </w:rPr>
      </w:pPr>
    </w:p>
    <w:p w:rsidR="00A677FE" w:rsidRPr="00A677FE" w:rsidRDefault="00A677FE" w:rsidP="00A677FE">
      <w:pPr>
        <w:tabs>
          <w:tab w:val="left" w:pos="4962"/>
        </w:tabs>
        <w:spacing w:line="276" w:lineRule="auto"/>
        <w:ind w:left="567" w:right="616"/>
        <w:jc w:val="both"/>
        <w:rPr>
          <w:rFonts w:ascii="Palatino Linotype" w:hAnsi="Palatino Linotype" w:cs="Arial"/>
          <w:i/>
          <w:iCs/>
          <w:lang w:val="es-ES"/>
        </w:rPr>
      </w:pPr>
      <w:r w:rsidRPr="00A677FE">
        <w:rPr>
          <w:rFonts w:ascii="Palatino Linotype" w:hAnsi="Palatino Linotype" w:cs="Arial"/>
          <w:i/>
          <w:iCs/>
          <w:lang w:val="es-ES"/>
        </w:rPr>
        <w:t>De tales circunstancias, se puede desprender que la Solicitante únicamente se inconformó, con parte del punto 1, referente a la falta de entrega de los expedientes del proceso y proyecto ejecutivo de los revestimientos de caminos de diferentes comunidades, del dos mil diecisiete al veinticinco de septiembre de dos mil dieciocho; mientras que con relación al punto tres, de la modalidad de entrega de la información.</w:t>
      </w:r>
    </w:p>
    <w:p w:rsidR="00A677FE" w:rsidRPr="00A677FE" w:rsidRDefault="00A677FE" w:rsidP="00A677FE">
      <w:pPr>
        <w:tabs>
          <w:tab w:val="left" w:pos="4962"/>
        </w:tabs>
        <w:spacing w:line="276" w:lineRule="auto"/>
        <w:ind w:left="567" w:right="616"/>
        <w:jc w:val="both"/>
        <w:rPr>
          <w:rFonts w:ascii="Palatino Linotype" w:hAnsi="Palatino Linotype" w:cs="Arial"/>
          <w:i/>
          <w:iCs/>
          <w:lang w:val="es-ES"/>
        </w:rPr>
      </w:pPr>
    </w:p>
    <w:p w:rsidR="00A677FE" w:rsidRPr="00A677FE" w:rsidRDefault="00A677FE" w:rsidP="00A677FE">
      <w:pPr>
        <w:tabs>
          <w:tab w:val="left" w:pos="4962"/>
        </w:tabs>
        <w:spacing w:line="276" w:lineRule="auto"/>
        <w:ind w:left="567" w:right="616"/>
        <w:jc w:val="both"/>
        <w:rPr>
          <w:rFonts w:ascii="Palatino Linotype" w:hAnsi="Palatino Linotype" w:cs="Arial"/>
          <w:i/>
          <w:iCs/>
        </w:rPr>
      </w:pPr>
      <w:r w:rsidRPr="00A677FE">
        <w:rPr>
          <w:rFonts w:ascii="Palatino Linotype" w:hAnsi="Palatino Linotype" w:cs="Arial"/>
          <w:i/>
          <w:iCs/>
          <w:lang w:val="es-ES"/>
        </w:rPr>
        <w:t xml:space="preserve">En ese orden de ideas, por lo que hace al </w:t>
      </w:r>
      <w:r w:rsidRPr="00A677FE">
        <w:rPr>
          <w:rFonts w:ascii="Palatino Linotype" w:hAnsi="Palatino Linotype" w:cs="Arial"/>
          <w:b/>
          <w:i/>
          <w:iCs/>
          <w:lang w:val="es-ES"/>
        </w:rPr>
        <w:t>punto 1, referente a la información del dos mil dieciséis y el punto 2</w:t>
      </w:r>
      <w:r w:rsidRPr="00A677FE">
        <w:rPr>
          <w:rFonts w:ascii="Palatino Linotype" w:hAnsi="Palatino Linotype" w:cs="Arial"/>
          <w:i/>
          <w:iCs/>
          <w:lang w:val="es-ES"/>
        </w:rPr>
        <w:t xml:space="preserve">, no se hará pronunciamiento alguno de conformidad con el artículo 195 </w:t>
      </w:r>
      <w:r w:rsidRPr="00A677FE">
        <w:rPr>
          <w:rFonts w:ascii="Palatino Linotype" w:hAnsi="Palatino Linotype" w:cs="Arial"/>
          <w:i/>
          <w:iCs/>
        </w:rPr>
        <w:t xml:space="preserve">de la Ley de Transparencia y Acceso a la Información Pública del Estado de México y Municipios, con relación con el diverso 195, fracción IV, de Código de Procedimientos Administrativos del Estado de México, que establece que será improcedente el recurso contra </w:t>
      </w:r>
      <w:r w:rsidRPr="00A677FE">
        <w:rPr>
          <w:rFonts w:ascii="Palatino Linotype" w:hAnsi="Palatino Linotype" w:cs="Arial"/>
          <w:b/>
          <w:i/>
          <w:iCs/>
        </w:rPr>
        <w:t>los actos que se hayan consentido tácitamente,</w:t>
      </w:r>
      <w:r w:rsidRPr="00A677FE">
        <w:rPr>
          <w:rFonts w:ascii="Palatino Linotype" w:hAnsi="Palatino Linotype" w:cs="Arial"/>
          <w:i/>
          <w:iCs/>
        </w:rPr>
        <w:t xml:space="preserve"> entendiéndose por estos cuando el recurso no se haya promovido en el plazo señalado para el efecto.</w:t>
      </w:r>
    </w:p>
    <w:p w:rsidR="00A677FE" w:rsidRPr="00A677FE" w:rsidRDefault="00A677FE" w:rsidP="00A677FE">
      <w:pPr>
        <w:tabs>
          <w:tab w:val="left" w:pos="4962"/>
        </w:tabs>
        <w:spacing w:line="276" w:lineRule="auto"/>
        <w:ind w:left="567" w:right="616"/>
        <w:jc w:val="both"/>
        <w:rPr>
          <w:rFonts w:ascii="Palatino Linotype" w:hAnsi="Palatino Linotype" w:cs="Arial"/>
          <w:i/>
          <w:iCs/>
          <w:lang w:val="es-ES"/>
        </w:rPr>
      </w:pPr>
    </w:p>
    <w:p w:rsidR="00A677FE" w:rsidRPr="00A677FE" w:rsidRDefault="00A677FE" w:rsidP="00A677FE">
      <w:pPr>
        <w:tabs>
          <w:tab w:val="left" w:pos="4962"/>
        </w:tabs>
        <w:spacing w:line="276" w:lineRule="auto"/>
        <w:ind w:left="567" w:right="616"/>
        <w:jc w:val="both"/>
        <w:rPr>
          <w:rFonts w:ascii="Palatino Linotype" w:hAnsi="Palatino Linotype" w:cs="Arial"/>
          <w:i/>
        </w:rPr>
      </w:pPr>
      <w:r w:rsidRPr="00A677FE">
        <w:rPr>
          <w:rFonts w:ascii="Palatino Linotype" w:hAnsi="Palatino Linotype" w:cs="Arial"/>
          <w:i/>
        </w:rPr>
        <w:t>De la misma manera resulta aplicable el criterio sostenido por el Poder Judicial de la Federación de rubro </w:t>
      </w:r>
      <w:r w:rsidRPr="00A677FE">
        <w:rPr>
          <w:rFonts w:ascii="Palatino Linotype" w:hAnsi="Palatino Linotype" w:cs="Arial"/>
          <w:b/>
          <w:i/>
        </w:rPr>
        <w:t>ACTOS CONSENTIDOS TÁCITAMENTE</w:t>
      </w:r>
      <w:r w:rsidRPr="00A677FE">
        <w:rPr>
          <w:rFonts w:ascii="Palatino Linotype" w:hAnsi="Palatino Linotype" w:cs="Arial"/>
          <w:i/>
        </w:rPr>
        <w:t>,</w:t>
      </w:r>
      <w:bookmarkStart w:id="2" w:name="m_1691910221459291997__ftnref1"/>
      <w:r w:rsidRPr="00A677FE">
        <w:rPr>
          <w:rFonts w:ascii="Palatino Linotype" w:hAnsi="Palatino Linotype" w:cs="Arial"/>
          <w:i/>
        </w:rPr>
        <w:t xml:space="preserve"> Tesis VI.2o. J/21, emitida en la novena época, por el Segundo Tribunal Colegiado del Sexto Circuito, publicada en la Gaceta del Semanario Judicial de la Federación en agosto de 1995, página 291, número de registro 204707, </w:t>
      </w:r>
      <w:bookmarkEnd w:id="2"/>
      <w:r w:rsidRPr="00A677FE">
        <w:rPr>
          <w:rFonts w:ascii="Palatino Linotype" w:hAnsi="Palatino Linotype" w:cs="Arial"/>
          <w:i/>
        </w:rPr>
        <w:t xml:space="preserve">del que se desprende que cuando no se reclaman los </w:t>
      </w:r>
      <w:r w:rsidRPr="00A677FE">
        <w:rPr>
          <w:rFonts w:ascii="Palatino Linotype" w:hAnsi="Palatino Linotype" w:cs="Arial"/>
          <w:i/>
        </w:rPr>
        <w:lastRenderedPageBreak/>
        <w:t>actos de autoridad en la vía y plazos establecidos en la Ley, se presume que la particular está conforme con los mismos.</w:t>
      </w:r>
    </w:p>
    <w:p w:rsidR="00A677FE" w:rsidRPr="00A677FE" w:rsidRDefault="00A677FE" w:rsidP="00A677FE">
      <w:pPr>
        <w:tabs>
          <w:tab w:val="left" w:pos="4962"/>
        </w:tabs>
        <w:spacing w:line="276" w:lineRule="auto"/>
        <w:ind w:left="567" w:right="616"/>
        <w:jc w:val="both"/>
        <w:rPr>
          <w:rFonts w:ascii="Palatino Linotype" w:hAnsi="Palatino Linotype" w:cs="Arial"/>
          <w:i/>
          <w:iCs/>
          <w:lang w:val="es-ES"/>
        </w:rPr>
      </w:pPr>
    </w:p>
    <w:p w:rsidR="00A677FE" w:rsidRPr="00A677FE" w:rsidRDefault="00A677FE" w:rsidP="00A677FE">
      <w:pPr>
        <w:tabs>
          <w:tab w:val="left" w:pos="4962"/>
        </w:tabs>
        <w:spacing w:line="276" w:lineRule="auto"/>
        <w:ind w:left="567" w:right="616"/>
        <w:jc w:val="both"/>
        <w:rPr>
          <w:rFonts w:ascii="Palatino Linotype" w:hAnsi="Palatino Linotype" w:cs="Arial"/>
          <w:b/>
          <w:i/>
        </w:rPr>
      </w:pPr>
      <w:r w:rsidRPr="00A677FE">
        <w:rPr>
          <w:rFonts w:ascii="Palatino Linotype" w:hAnsi="Palatino Linotype" w:cs="Arial"/>
          <w:i/>
        </w:rPr>
        <w:t>De acuerdo con el criterio en comento, en el caso de que la Solicitante no haya manifestado su inconformidad en contra del acto en su totalidad o en cualquiera de sus partes, se tendrá por consentido al no haber realizado argumento alguno que formulara un agravio en su contra, por lo que, en la especie, se valida la respuesta respecto de los puntos no controvertidos y se arriba a la conclusión de que estos</w:t>
      </w:r>
      <w:r w:rsidRPr="00A677FE">
        <w:rPr>
          <w:rFonts w:ascii="Palatino Linotype" w:hAnsi="Palatino Linotype" w:cs="Arial"/>
          <w:b/>
          <w:i/>
        </w:rPr>
        <w:t xml:space="preserve"> quedaron firmes.</w:t>
      </w:r>
    </w:p>
    <w:p w:rsidR="00A677FE" w:rsidRPr="00A677FE" w:rsidRDefault="00A677FE" w:rsidP="00A677FE">
      <w:pPr>
        <w:tabs>
          <w:tab w:val="left" w:pos="4962"/>
        </w:tabs>
        <w:spacing w:line="276" w:lineRule="auto"/>
        <w:ind w:left="567" w:right="616"/>
        <w:jc w:val="both"/>
        <w:rPr>
          <w:rFonts w:ascii="Palatino Linotype" w:hAnsi="Palatino Linotype" w:cs="Arial"/>
          <w:b/>
          <w:i/>
          <w:iCs/>
          <w:lang w:val="es-ES"/>
        </w:rPr>
      </w:pPr>
    </w:p>
    <w:p w:rsidR="00B601AF" w:rsidRPr="00A677FE" w:rsidRDefault="00A677FE" w:rsidP="00A677FE">
      <w:pPr>
        <w:tabs>
          <w:tab w:val="left" w:pos="4962"/>
        </w:tabs>
        <w:spacing w:line="276" w:lineRule="auto"/>
        <w:ind w:left="567" w:right="616"/>
        <w:jc w:val="both"/>
        <w:rPr>
          <w:rFonts w:ascii="Palatino Linotype" w:hAnsi="Palatino Linotype" w:cs="Arial"/>
          <w:i/>
          <w:iCs/>
          <w:lang w:val="es-ES"/>
        </w:rPr>
      </w:pPr>
      <w:r w:rsidRPr="00A677FE">
        <w:rPr>
          <w:rFonts w:ascii="Palatino Linotype" w:hAnsi="Palatino Linotype" w:cs="Arial"/>
          <w:i/>
          <w:iCs/>
          <w:lang w:val="es-ES"/>
        </w:rPr>
        <w:t>Además, respecto al punto 1 del requerimiento, quedó parcialmente sin materia, toda vez que el Sujeto Obligado señaló las razones por las cuales no cuenta con la información referente al año dos mil diecisiete, tal como se ana</w:t>
      </w:r>
      <w:r>
        <w:rPr>
          <w:rFonts w:ascii="Palatino Linotype" w:hAnsi="Palatino Linotype" w:cs="Arial"/>
          <w:i/>
          <w:iCs/>
          <w:lang w:val="es-ES"/>
        </w:rPr>
        <w:t>lizó en el Considerando Segundo</w:t>
      </w:r>
      <w:r w:rsidR="00B601AF" w:rsidRPr="00B601AF">
        <w:rPr>
          <w:rFonts w:ascii="Palatino Linotype" w:eastAsia="Times New Roman" w:hAnsi="Palatino Linotype" w:cs="Tahoma"/>
          <w:i/>
          <w:lang w:val="es-ES" w:eastAsia="es-ES"/>
        </w:rPr>
        <w:t>.” (Sic)</w:t>
      </w:r>
    </w:p>
    <w:p w:rsidR="00D97434" w:rsidRPr="00B601AF" w:rsidRDefault="00D97434" w:rsidP="00B601AF">
      <w:pPr>
        <w:tabs>
          <w:tab w:val="left" w:pos="4962"/>
        </w:tabs>
        <w:spacing w:after="0" w:line="276" w:lineRule="auto"/>
        <w:ind w:left="567" w:right="616"/>
        <w:jc w:val="both"/>
        <w:rPr>
          <w:rFonts w:ascii="Palatino Linotype" w:eastAsia="Times New Roman" w:hAnsi="Palatino Linotype" w:cs="Tahoma"/>
          <w:i/>
          <w:lang w:val="es-ES" w:eastAsia="es-ES"/>
        </w:rPr>
      </w:pPr>
    </w:p>
    <w:p w:rsidR="00D97434" w:rsidRPr="00D97434" w:rsidRDefault="00D97434" w:rsidP="00D97434">
      <w:pPr>
        <w:numPr>
          <w:ilvl w:val="0"/>
          <w:numId w:val="1"/>
        </w:numPr>
        <w:spacing w:before="240" w:after="240" w:line="360" w:lineRule="auto"/>
        <w:ind w:left="0" w:right="49" w:firstLine="0"/>
        <w:jc w:val="both"/>
        <w:rPr>
          <w:rFonts w:ascii="Palatino Linotype" w:hAnsi="Palatino Linotype" w:cs="Arial"/>
          <w:sz w:val="24"/>
          <w:szCs w:val="24"/>
        </w:rPr>
      </w:pPr>
      <w:r w:rsidRPr="00D97434">
        <w:rPr>
          <w:rFonts w:ascii="Palatino Linotype" w:hAnsi="Palatino Linotype" w:cs="Arial"/>
          <w:sz w:val="24"/>
          <w:szCs w:val="24"/>
        </w:rPr>
        <w:t>Derivado de lo transcrito con anterioridad, considero que la incorporación de dicho argumento en la resolución en comento resulta a todas luces innecesario y además no da lugar a invocarlos en el derecho humano fundamental de acceder a la información pública gubernamental.</w:t>
      </w:r>
      <w:r w:rsidRPr="00D97434">
        <w:rPr>
          <w:rFonts w:ascii="Palatino Linotype" w:hAnsi="Palatino Linotype" w:cs="Arial"/>
          <w:sz w:val="24"/>
          <w:szCs w:val="24"/>
          <w:lang w:val="es-ES"/>
        </w:rPr>
        <w:t xml:space="preserve"> Por lo que la mayoría consideró que la respuesta quedó firme ante la falta de impugnación respecto al resto de los requerimientos que no fueron manifestados en el recurso de revisión. </w:t>
      </w:r>
    </w:p>
    <w:p w:rsidR="00D97434" w:rsidRPr="00D97434" w:rsidRDefault="00D97434" w:rsidP="00D97434">
      <w:pPr>
        <w:numPr>
          <w:ilvl w:val="0"/>
          <w:numId w:val="1"/>
        </w:numPr>
        <w:spacing w:before="240" w:after="240" w:line="360" w:lineRule="auto"/>
        <w:ind w:left="0" w:right="49" w:firstLine="0"/>
        <w:jc w:val="both"/>
        <w:rPr>
          <w:rFonts w:ascii="Palatino Linotype" w:hAnsi="Palatino Linotype" w:cs="Arial"/>
          <w:sz w:val="24"/>
          <w:szCs w:val="24"/>
        </w:rPr>
      </w:pPr>
      <w:r w:rsidRPr="00D97434">
        <w:rPr>
          <w:rFonts w:ascii="Palatino Linotype" w:hAnsi="Palatino Linotype" w:cs="Arial"/>
          <w:sz w:val="24"/>
          <w:szCs w:val="24"/>
          <w:lang w:val="es-ES"/>
        </w:rPr>
        <w:t xml:space="preserve">En el presente asunto que nos ocupa, es de señalar que del análisis hecho a la resolución en comento, no se discute que el </w:t>
      </w:r>
      <w:r w:rsidRPr="00D97434">
        <w:rPr>
          <w:rFonts w:ascii="Palatino Linotype" w:hAnsi="Palatino Linotype" w:cs="Arial"/>
          <w:b/>
          <w:sz w:val="24"/>
          <w:szCs w:val="24"/>
          <w:lang w:val="es-ES"/>
        </w:rPr>
        <w:t>SUJETO OBLIGADO</w:t>
      </w:r>
      <w:r w:rsidRPr="00D97434">
        <w:rPr>
          <w:rFonts w:ascii="Palatino Linotype" w:hAnsi="Palatino Linotype" w:cs="Arial"/>
          <w:sz w:val="24"/>
          <w:szCs w:val="24"/>
          <w:lang w:val="es-ES"/>
        </w:rPr>
        <w:t xml:space="preserve"> ha dado respuesta a la solicitud de información en lo particular, tan es así que al analizar la respuesta</w:t>
      </w:r>
      <w:r>
        <w:rPr>
          <w:rFonts w:ascii="Palatino Linotype" w:hAnsi="Palatino Linotype" w:cs="Arial"/>
          <w:sz w:val="24"/>
          <w:szCs w:val="24"/>
          <w:lang w:val="es-ES"/>
        </w:rPr>
        <w:t>s</w:t>
      </w:r>
      <w:r w:rsidRPr="00D97434">
        <w:rPr>
          <w:rFonts w:ascii="Palatino Linotype" w:hAnsi="Palatino Linotype" w:cs="Arial"/>
          <w:sz w:val="24"/>
          <w:szCs w:val="24"/>
          <w:lang w:val="es-ES"/>
        </w:rPr>
        <w:t xml:space="preserve"> emitida se concluyó que colmó con el derecho de acceso a la información, </w:t>
      </w:r>
      <w:r w:rsidRPr="00D97434">
        <w:rPr>
          <w:rFonts w:ascii="Palatino Linotype" w:hAnsi="Palatino Linotype" w:cs="Arial"/>
          <w:sz w:val="24"/>
          <w:szCs w:val="24"/>
          <w:lang w:val="es-ES"/>
        </w:rPr>
        <w:lastRenderedPageBreak/>
        <w:t>por lo que a mi consideración, es innecesario señalar la figura de actos consentidos, lo anterior en atención a que éste instituto como órgano garante, tiene el deber de velar por el cabal cumplimiento al derecho humano de acceso a la información, mas no limitarlo invocando el multicitado argumento de actos consentidos.</w:t>
      </w:r>
    </w:p>
    <w:p w:rsidR="0046491C" w:rsidRPr="00C27EF9" w:rsidRDefault="0046491C" w:rsidP="00262F92">
      <w:pPr>
        <w:pStyle w:val="Ttulo1"/>
        <w:numPr>
          <w:ilvl w:val="0"/>
          <w:numId w:val="12"/>
        </w:numPr>
        <w:spacing w:line="360" w:lineRule="auto"/>
        <w:ind w:left="0" w:firstLine="0"/>
        <w:rPr>
          <w:rFonts w:ascii="Palatino Linotype" w:hAnsi="Palatino Linotype"/>
          <w:b/>
          <w:color w:val="auto"/>
          <w:sz w:val="24"/>
          <w:szCs w:val="24"/>
        </w:rPr>
      </w:pPr>
      <w:bookmarkStart w:id="3" w:name="_Toc535239167"/>
      <w:r w:rsidRPr="00C27EF9">
        <w:rPr>
          <w:rFonts w:ascii="Palatino Linotype" w:hAnsi="Palatino Linotype"/>
          <w:b/>
          <w:color w:val="auto"/>
          <w:sz w:val="24"/>
          <w:szCs w:val="24"/>
        </w:rPr>
        <w:t>Los actos consentidos no deben invocarse en el derecho fundamental de acceder a la información pública gubernamental.</w:t>
      </w:r>
      <w:bookmarkEnd w:id="3"/>
    </w:p>
    <w:p w:rsidR="0046491C" w:rsidRPr="00C27EF9" w:rsidRDefault="0046491C" w:rsidP="00E34F08">
      <w:pPr>
        <w:pStyle w:val="Prrafodelista"/>
        <w:spacing w:after="0" w:line="360" w:lineRule="auto"/>
        <w:ind w:left="1080"/>
        <w:jc w:val="both"/>
        <w:rPr>
          <w:rFonts w:ascii="Palatino Linotype" w:hAnsi="Palatino Linotype" w:cs="Arial"/>
          <w:b/>
          <w:sz w:val="24"/>
          <w:szCs w:val="24"/>
        </w:rPr>
      </w:pPr>
    </w:p>
    <w:p w:rsidR="0046491C" w:rsidRPr="00C27EF9" w:rsidRDefault="0046491C" w:rsidP="00262F92">
      <w:pPr>
        <w:pStyle w:val="Prrafodelista"/>
        <w:numPr>
          <w:ilvl w:val="0"/>
          <w:numId w:val="1"/>
        </w:numPr>
        <w:spacing w:after="0" w:line="360" w:lineRule="auto"/>
        <w:ind w:left="0" w:firstLine="0"/>
        <w:jc w:val="both"/>
        <w:rPr>
          <w:rFonts w:ascii="Palatino Linotype" w:hAnsi="Palatino Linotype" w:cs="Arial"/>
          <w:sz w:val="24"/>
          <w:szCs w:val="24"/>
        </w:rPr>
      </w:pPr>
      <w:r w:rsidRPr="00C27EF9">
        <w:rPr>
          <w:rFonts w:ascii="Palatino Linotype" w:hAnsi="Palatino Linotype" w:cs="Arial"/>
          <w:sz w:val="24"/>
          <w:szCs w:val="24"/>
        </w:rPr>
        <w:t xml:space="preserve">En la resolución se precisa, un criterio </w:t>
      </w:r>
      <w:r w:rsidR="00260D6C" w:rsidRPr="00C27EF9">
        <w:rPr>
          <w:rFonts w:ascii="Palatino Linotype" w:hAnsi="Palatino Linotype" w:cs="Arial"/>
          <w:sz w:val="24"/>
          <w:szCs w:val="24"/>
        </w:rPr>
        <w:t>denominado</w:t>
      </w:r>
      <w:r w:rsidRPr="00C27EF9">
        <w:rPr>
          <w:rFonts w:ascii="Palatino Linotype" w:hAnsi="Palatino Linotype" w:cs="Arial"/>
          <w:sz w:val="24"/>
          <w:szCs w:val="24"/>
        </w:rPr>
        <w:t xml:space="preserve"> actos consentidos. Al respecto estoy convencido de que la garantía constitucional que se desahoga ante esta autoridad corresponde a un procedimiento cuasi jurisdiccional que si bien reúne las formalidades básicas, también resulta evidentemente más flexible, más laxo y pretende ser de mayor protección al derecho humano, por eso es que contamos con un sistema electrónico que asiste a la persona que realiza una solicitud o presenta un recurso de revisión, de tal forma que se pretende que ejerza sus derechos sin verse en la necesidad de </w:t>
      </w:r>
      <w:r w:rsidRPr="00C27EF9">
        <w:rPr>
          <w:rFonts w:ascii="Palatino Linotype" w:hAnsi="Palatino Linotype" w:cs="Arial"/>
          <w:b/>
          <w:sz w:val="24"/>
          <w:szCs w:val="24"/>
        </w:rPr>
        <w:t>acudir a un profesionista del derecho</w:t>
      </w:r>
      <w:r w:rsidRPr="00C27EF9">
        <w:rPr>
          <w:rFonts w:ascii="Palatino Linotype" w:hAnsi="Palatino Linotype" w:cs="Arial"/>
          <w:sz w:val="24"/>
          <w:szCs w:val="24"/>
        </w:rPr>
        <w:t xml:space="preserve"> para que le asista en la elaboración de su promoción; contrario a ello, nuestro sistema pretende asistirle y facilitarle el procedimiento, esa flexibilidad se vería seriamente comprometida si este órgano garante decide imponer las cargas formales del proceso jurisdiccional y, al mismo tiempo no asegura otros derechos, el de la defensa adecuada, por ejemplo, incumpliendo así con lo dispuesto en los artículos 74 de la Ley de Transparencia de Transparencia y Acceso a la Información Pública del Estado </w:t>
      </w:r>
      <w:r w:rsidRPr="00C27EF9">
        <w:rPr>
          <w:rFonts w:ascii="Palatino Linotype" w:hAnsi="Palatino Linotype" w:cs="Arial"/>
          <w:sz w:val="24"/>
          <w:szCs w:val="24"/>
        </w:rPr>
        <w:lastRenderedPageBreak/>
        <w:t>de México y Municipios y del 146 de la Ley General de Transparencia y Acceso a la Información Pública, que contemplan  la figura de la suplencia de la queja.</w:t>
      </w:r>
    </w:p>
    <w:p w:rsidR="0046491C" w:rsidRPr="00C27EF9" w:rsidRDefault="0046491C" w:rsidP="00E34F08">
      <w:pPr>
        <w:pStyle w:val="Prrafodelista"/>
        <w:spacing w:after="0" w:line="360" w:lineRule="auto"/>
        <w:ind w:left="426"/>
        <w:jc w:val="both"/>
        <w:rPr>
          <w:rFonts w:ascii="Palatino Linotype" w:hAnsi="Palatino Linotype" w:cs="Arial"/>
          <w:sz w:val="24"/>
          <w:szCs w:val="24"/>
        </w:rPr>
      </w:pPr>
    </w:p>
    <w:p w:rsidR="0046491C" w:rsidRPr="00C27EF9" w:rsidRDefault="0046491C" w:rsidP="00C91360">
      <w:pPr>
        <w:pStyle w:val="Prrafodelista"/>
        <w:numPr>
          <w:ilvl w:val="0"/>
          <w:numId w:val="1"/>
        </w:numPr>
        <w:spacing w:after="0" w:line="360" w:lineRule="auto"/>
        <w:ind w:left="0" w:firstLine="0"/>
        <w:jc w:val="both"/>
        <w:rPr>
          <w:rFonts w:ascii="Palatino Linotype" w:hAnsi="Palatino Linotype" w:cs="Arial"/>
          <w:sz w:val="24"/>
          <w:szCs w:val="24"/>
        </w:rPr>
      </w:pPr>
      <w:r w:rsidRPr="00C27EF9">
        <w:rPr>
          <w:rFonts w:ascii="Palatino Linotype" w:hAnsi="Palatino Linotype" w:cs="Arial"/>
          <w:sz w:val="24"/>
          <w:szCs w:val="24"/>
        </w:rPr>
        <w:t>La figura de la suplencia de la queja, para Héctor Fix Zamudio  “…puede caracterizarse como el conjunto de atribuciones que se confieren al juez de amparo para corregir los errores o deficiencias en que incurran los reclamantes que, por su debilidad económica y cultural, carecen de un debido asesoramiento, y que puede expenderse, como ocurre en el proceso social agrario, a los diversos actos procesales de la parte débil incluyendo el ofrecimiento y desahogo de los medios de prueba”.</w:t>
      </w:r>
      <w:r w:rsidRPr="00C27EF9">
        <w:rPr>
          <w:rStyle w:val="Refdenotaalpie"/>
          <w:rFonts w:ascii="Palatino Linotype" w:hAnsi="Palatino Linotype" w:cs="Arial"/>
          <w:sz w:val="24"/>
          <w:szCs w:val="24"/>
        </w:rPr>
        <w:footnoteReference w:id="1"/>
      </w:r>
      <w:r w:rsidRPr="00C27EF9">
        <w:rPr>
          <w:rFonts w:ascii="Palatino Linotype" w:hAnsi="Palatino Linotype" w:cs="Arial"/>
          <w:sz w:val="24"/>
          <w:szCs w:val="24"/>
        </w:rPr>
        <w:t xml:space="preserve"> Según este mismo autor, “…es siempre obligatoria… respecto de los errores o defectos de los conceptos de violación expresados en la demanda, así como los de los agravios formulados en los recursos que el mismo ordenamiento establece”.</w:t>
      </w:r>
      <w:r w:rsidRPr="00C27EF9">
        <w:rPr>
          <w:rStyle w:val="Refdenotaalpie"/>
          <w:rFonts w:ascii="Palatino Linotype" w:hAnsi="Palatino Linotype" w:cs="Arial"/>
          <w:sz w:val="24"/>
          <w:szCs w:val="24"/>
        </w:rPr>
        <w:footnoteReference w:id="2"/>
      </w:r>
      <w:r w:rsidRPr="00C27EF9">
        <w:rPr>
          <w:rFonts w:ascii="Palatino Linotype" w:hAnsi="Palatino Linotype" w:cs="Arial"/>
          <w:sz w:val="24"/>
          <w:szCs w:val="24"/>
        </w:rPr>
        <w:t xml:space="preserve"> </w:t>
      </w:r>
    </w:p>
    <w:p w:rsidR="0046491C" w:rsidRPr="00C27EF9" w:rsidRDefault="0046491C" w:rsidP="00E34F08">
      <w:pPr>
        <w:pStyle w:val="Prrafodelista"/>
        <w:spacing w:line="360" w:lineRule="auto"/>
        <w:jc w:val="both"/>
        <w:rPr>
          <w:rFonts w:ascii="Palatino Linotype" w:hAnsi="Palatino Linotype" w:cs="Arial"/>
          <w:sz w:val="24"/>
          <w:szCs w:val="24"/>
        </w:rPr>
      </w:pPr>
    </w:p>
    <w:p w:rsidR="0046491C" w:rsidRPr="00C27EF9" w:rsidRDefault="0046491C" w:rsidP="00C91360">
      <w:pPr>
        <w:pStyle w:val="Prrafodelista"/>
        <w:numPr>
          <w:ilvl w:val="0"/>
          <w:numId w:val="1"/>
        </w:numPr>
        <w:spacing w:after="0" w:line="360" w:lineRule="auto"/>
        <w:ind w:left="0" w:firstLine="0"/>
        <w:jc w:val="both"/>
        <w:rPr>
          <w:rFonts w:ascii="Palatino Linotype" w:hAnsi="Palatino Linotype" w:cs="Arial"/>
          <w:sz w:val="24"/>
          <w:szCs w:val="24"/>
        </w:rPr>
      </w:pPr>
      <w:r w:rsidRPr="00C27EF9">
        <w:rPr>
          <w:rFonts w:ascii="Palatino Linotype" w:hAnsi="Palatino Linotype" w:cs="Arial"/>
          <w:sz w:val="24"/>
          <w:szCs w:val="24"/>
        </w:rPr>
        <w:t>Además es necesario precisar que el presente es un procedimiento cuasi jurisdiccional porque no hay partes en conflicto, por lo tanto lo que este Órgano Garante realice en materia de suplencia de la queja no afecta la igualdad de las partes sino procura el cumplimiento de los deberes de protección del derecho humano a partir del criterio que más le favorezca.</w:t>
      </w:r>
    </w:p>
    <w:p w:rsidR="0046491C" w:rsidRPr="00C27EF9" w:rsidRDefault="0046491C" w:rsidP="00E34F08">
      <w:pPr>
        <w:spacing w:after="0" w:line="360" w:lineRule="auto"/>
        <w:jc w:val="both"/>
        <w:rPr>
          <w:rFonts w:ascii="Palatino Linotype" w:hAnsi="Palatino Linotype" w:cs="Arial"/>
          <w:sz w:val="24"/>
          <w:szCs w:val="24"/>
        </w:rPr>
      </w:pPr>
    </w:p>
    <w:p w:rsidR="0046491C" w:rsidRPr="00C27EF9" w:rsidRDefault="0046491C" w:rsidP="00C91360">
      <w:pPr>
        <w:pStyle w:val="Prrafodelista"/>
        <w:numPr>
          <w:ilvl w:val="0"/>
          <w:numId w:val="1"/>
        </w:numPr>
        <w:spacing w:after="0" w:line="360" w:lineRule="auto"/>
        <w:ind w:left="0" w:firstLine="0"/>
        <w:jc w:val="both"/>
        <w:rPr>
          <w:rFonts w:ascii="Palatino Linotype" w:hAnsi="Palatino Linotype" w:cs="Arial"/>
          <w:sz w:val="24"/>
          <w:szCs w:val="24"/>
        </w:rPr>
      </w:pPr>
      <w:r w:rsidRPr="00C27EF9">
        <w:rPr>
          <w:rFonts w:ascii="Palatino Linotype" w:hAnsi="Palatino Linotype" w:cs="Arial"/>
          <w:sz w:val="24"/>
          <w:szCs w:val="24"/>
        </w:rPr>
        <w:lastRenderedPageBreak/>
        <w:t xml:space="preserve"> No satisfecho con lo anterior, es necesario señalar que en materia del derecho de acceso a la información pública, tiene una justificación clara y precisa que se deriva de un aspecto de singular importancia, ya que lo que tratamos y pretendemos resolver consiste en el ejercicio de un derecho humano constitucional y convencionalmente reconocido. Por tanto, al tratar directamente con un derecho humano, todas las autoridades nos vemos impuestas del supremo mandato constitucional consistente en la promoción, respeto, protección y </w:t>
      </w:r>
      <w:r w:rsidRPr="00C27EF9">
        <w:rPr>
          <w:rFonts w:ascii="Palatino Linotype" w:hAnsi="Palatino Linotype" w:cs="Arial"/>
          <w:b/>
          <w:sz w:val="24"/>
          <w:szCs w:val="24"/>
        </w:rPr>
        <w:t>garantía de los derechos humanos</w:t>
      </w:r>
      <w:r w:rsidRPr="00C27EF9">
        <w:rPr>
          <w:rFonts w:ascii="Palatino Linotype" w:hAnsi="Palatino Linotype" w:cs="Arial"/>
          <w:sz w:val="24"/>
          <w:szCs w:val="24"/>
        </w:rPr>
        <w:t>, de tal forma que cualquier esfuerzo que se haga en el sentido de cumplir con dicho mandato no resulta ocioso ni sobra sino demuestra el grado de compromiso de la autoridad con este aspecto toral de la reforma constitucional del 10 de junio de 2011.</w:t>
      </w:r>
    </w:p>
    <w:p w:rsidR="0046491C" w:rsidRPr="00C27EF9" w:rsidRDefault="0046491C" w:rsidP="00E34F08">
      <w:pPr>
        <w:spacing w:after="0" w:line="360" w:lineRule="auto"/>
        <w:jc w:val="both"/>
        <w:rPr>
          <w:rFonts w:ascii="Palatino Linotype" w:hAnsi="Palatino Linotype" w:cs="Arial"/>
          <w:sz w:val="24"/>
          <w:szCs w:val="24"/>
        </w:rPr>
      </w:pPr>
    </w:p>
    <w:p w:rsidR="0046491C" w:rsidRPr="00C27EF9" w:rsidRDefault="0046491C" w:rsidP="00C91360">
      <w:pPr>
        <w:pStyle w:val="Prrafodelista"/>
        <w:numPr>
          <w:ilvl w:val="0"/>
          <w:numId w:val="1"/>
        </w:numPr>
        <w:spacing w:after="0" w:line="360" w:lineRule="auto"/>
        <w:ind w:left="0" w:firstLine="0"/>
        <w:jc w:val="both"/>
        <w:rPr>
          <w:rFonts w:ascii="Palatino Linotype" w:hAnsi="Palatino Linotype" w:cs="Arial"/>
          <w:sz w:val="24"/>
          <w:szCs w:val="24"/>
        </w:rPr>
      </w:pPr>
      <w:r w:rsidRPr="00C27EF9">
        <w:rPr>
          <w:rFonts w:ascii="Palatino Linotype" w:hAnsi="Palatino Linotype" w:cs="Arial"/>
          <w:sz w:val="24"/>
          <w:szCs w:val="24"/>
        </w:rPr>
        <w:t>En este sentido el Dr. Miguel Carbonell ha señalado que:</w:t>
      </w:r>
    </w:p>
    <w:p w:rsidR="0046491C" w:rsidRPr="00C27EF9" w:rsidRDefault="0046491C" w:rsidP="00E34F08">
      <w:pPr>
        <w:pStyle w:val="Prrafodelista"/>
        <w:spacing w:after="0" w:line="360" w:lineRule="auto"/>
        <w:ind w:left="426"/>
        <w:jc w:val="both"/>
        <w:rPr>
          <w:rFonts w:ascii="Palatino Linotype" w:hAnsi="Palatino Linotype" w:cs="Arial"/>
          <w:sz w:val="24"/>
          <w:szCs w:val="24"/>
        </w:rPr>
      </w:pPr>
    </w:p>
    <w:p w:rsidR="0046491C" w:rsidRDefault="0046491C" w:rsidP="00D97434">
      <w:pPr>
        <w:pStyle w:val="Prrafodelista"/>
        <w:tabs>
          <w:tab w:val="left" w:pos="993"/>
        </w:tabs>
        <w:spacing w:after="0" w:line="360" w:lineRule="auto"/>
        <w:ind w:left="567" w:right="616"/>
        <w:jc w:val="both"/>
        <w:rPr>
          <w:rFonts w:ascii="Palatino Linotype" w:hAnsi="Palatino Linotype" w:cs="Arial"/>
          <w:i/>
          <w:sz w:val="24"/>
          <w:szCs w:val="24"/>
        </w:rPr>
      </w:pPr>
      <w:r w:rsidRPr="00D97434">
        <w:rPr>
          <w:rFonts w:ascii="Palatino Linotype" w:hAnsi="Palatino Linotype" w:cs="Arial"/>
          <w:i/>
          <w:sz w:val="24"/>
          <w:szCs w:val="24"/>
        </w:rPr>
        <w:t xml:space="preserve">“Queda claro, en consecuencia, que las obligaciones de promoción, respeto, protección y garantía de los derechos corren a cargo de todos los poderes, incluso </w:t>
      </w:r>
      <w:r w:rsidRPr="00D97434">
        <w:rPr>
          <w:rFonts w:ascii="Palatino Linotype" w:hAnsi="Palatino Linotype" w:cs="Arial"/>
          <w:b/>
          <w:i/>
          <w:sz w:val="24"/>
          <w:szCs w:val="24"/>
        </w:rPr>
        <w:t>considerando que algún nivel de gobierno tenga obligaciones reforzadas hacia ciertos derechos.</w:t>
      </w:r>
      <w:r w:rsidRPr="00D97434">
        <w:rPr>
          <w:rFonts w:ascii="Palatino Linotype" w:hAnsi="Palatino Linotype" w:cs="Arial"/>
          <w:i/>
          <w:sz w:val="24"/>
          <w:szCs w:val="24"/>
        </w:rPr>
        <w:t xml:space="preserve"> A partir de tales deberes generales, podemos afirmar que las autoridades de todos los niveles de gobierno también tienen la obligación </w:t>
      </w:r>
      <w:r w:rsidRPr="00D97434">
        <w:rPr>
          <w:rFonts w:ascii="Palatino Linotype" w:hAnsi="Palatino Linotype" w:cs="Arial"/>
          <w:i/>
          <w:sz w:val="24"/>
          <w:szCs w:val="24"/>
        </w:rPr>
        <w:lastRenderedPageBreak/>
        <w:t xml:space="preserve">positiva de </w:t>
      </w:r>
      <w:r w:rsidRPr="00D97434">
        <w:rPr>
          <w:rFonts w:ascii="Palatino Linotype" w:hAnsi="Palatino Linotype" w:cs="Arial"/>
          <w:b/>
          <w:i/>
          <w:sz w:val="24"/>
          <w:szCs w:val="24"/>
        </w:rPr>
        <w:t>tomar todas las medidas que sean pertinentes para tutelar y hacer eficaz un derecho</w:t>
      </w:r>
      <w:r w:rsidRPr="00D97434">
        <w:rPr>
          <w:rFonts w:ascii="Palatino Linotype" w:hAnsi="Palatino Linotype" w:cs="Arial"/>
          <w:i/>
          <w:sz w:val="24"/>
          <w:szCs w:val="24"/>
        </w:rPr>
        <w:t>”.</w:t>
      </w:r>
      <w:r w:rsidRPr="00D97434">
        <w:rPr>
          <w:rStyle w:val="Refdenotaalpie"/>
          <w:rFonts w:ascii="Palatino Linotype" w:hAnsi="Palatino Linotype" w:cs="Arial"/>
          <w:i/>
          <w:sz w:val="24"/>
          <w:szCs w:val="24"/>
        </w:rPr>
        <w:footnoteReference w:id="3"/>
      </w:r>
    </w:p>
    <w:p w:rsidR="00D97434" w:rsidRPr="00D97434" w:rsidRDefault="00D97434" w:rsidP="00D97434">
      <w:pPr>
        <w:tabs>
          <w:tab w:val="left" w:pos="993"/>
        </w:tabs>
        <w:spacing w:after="0" w:line="360" w:lineRule="auto"/>
        <w:ind w:right="616"/>
        <w:jc w:val="both"/>
        <w:rPr>
          <w:rFonts w:ascii="Palatino Linotype" w:hAnsi="Palatino Linotype" w:cs="Arial"/>
          <w:i/>
          <w:sz w:val="24"/>
          <w:szCs w:val="24"/>
        </w:rPr>
      </w:pPr>
    </w:p>
    <w:p w:rsidR="0046491C" w:rsidRPr="00C27EF9" w:rsidRDefault="0046491C" w:rsidP="00C91360">
      <w:pPr>
        <w:pStyle w:val="Prrafodelista"/>
        <w:numPr>
          <w:ilvl w:val="0"/>
          <w:numId w:val="1"/>
        </w:numPr>
        <w:spacing w:after="0" w:line="360" w:lineRule="auto"/>
        <w:ind w:left="0" w:firstLine="0"/>
        <w:jc w:val="both"/>
        <w:rPr>
          <w:rFonts w:ascii="Palatino Linotype" w:hAnsi="Palatino Linotype" w:cs="Arial"/>
          <w:sz w:val="24"/>
          <w:szCs w:val="24"/>
        </w:rPr>
      </w:pPr>
      <w:r w:rsidRPr="00C27EF9">
        <w:rPr>
          <w:rFonts w:ascii="Palatino Linotype" w:hAnsi="Palatino Linotype" w:cs="Arial"/>
          <w:sz w:val="24"/>
          <w:szCs w:val="24"/>
        </w:rPr>
        <w:t xml:space="preserve"> Por lo que restringir el derecho de acceso a la información pública del particular</w:t>
      </w:r>
      <w:r w:rsidRPr="00C27EF9">
        <w:rPr>
          <w:rFonts w:ascii="Palatino Linotype" w:hAnsi="Palatino Linotype" w:cs="Arial"/>
          <w:b/>
          <w:sz w:val="24"/>
          <w:szCs w:val="24"/>
        </w:rPr>
        <w:t xml:space="preserve"> </w:t>
      </w:r>
      <w:r w:rsidRPr="00C27EF9">
        <w:rPr>
          <w:rFonts w:ascii="Palatino Linotype" w:hAnsi="Palatino Linotype" w:cs="Arial"/>
          <w:sz w:val="24"/>
          <w:szCs w:val="24"/>
        </w:rPr>
        <w:t>suponiendo en el peor de los casos, que en efecto, no se hubiera ordenado la información solicitada por no impugnar la falta de entrega de los documentos solicitados, debilita la efectividad de esta garantía al hacerla depender de un hecho desconocido y, por lo tanto de dudosa acreditación, además que se insiste fue en todo momento innecesario señalar el argumento de actos consentidos.</w:t>
      </w:r>
    </w:p>
    <w:p w:rsidR="0046491C" w:rsidRPr="00C27EF9" w:rsidRDefault="0046491C" w:rsidP="00E34F08">
      <w:pPr>
        <w:pStyle w:val="Prrafodelista"/>
        <w:spacing w:after="0" w:line="360" w:lineRule="auto"/>
        <w:jc w:val="both"/>
        <w:rPr>
          <w:rFonts w:ascii="Palatino Linotype" w:hAnsi="Palatino Linotype" w:cs="Arial"/>
          <w:sz w:val="24"/>
          <w:szCs w:val="24"/>
        </w:rPr>
      </w:pPr>
    </w:p>
    <w:p w:rsidR="0046491C" w:rsidRPr="00C27EF9" w:rsidRDefault="0046491C" w:rsidP="00C91360">
      <w:pPr>
        <w:pStyle w:val="Prrafodelista"/>
        <w:numPr>
          <w:ilvl w:val="0"/>
          <w:numId w:val="1"/>
        </w:numPr>
        <w:spacing w:after="0" w:line="360" w:lineRule="auto"/>
        <w:ind w:left="0" w:firstLine="0"/>
        <w:jc w:val="both"/>
        <w:rPr>
          <w:rFonts w:ascii="Palatino Linotype" w:hAnsi="Palatino Linotype" w:cs="Arial"/>
          <w:sz w:val="24"/>
          <w:szCs w:val="24"/>
        </w:rPr>
      </w:pPr>
      <w:r w:rsidRPr="00C27EF9">
        <w:rPr>
          <w:rFonts w:ascii="Palatino Linotype" w:hAnsi="Palatino Linotype" w:cs="Arial"/>
          <w:sz w:val="24"/>
          <w:szCs w:val="24"/>
        </w:rPr>
        <w:t xml:space="preserve"> Enfrentar este silencio  u omisión de los particulares a inconformarse por algún punto o requerimiento de origen solicitado, cuando es evidente que no le fue entregada la información o satisfecho el derecho de acceso a la información pública con las formalidades del proceso jurisdiccional nos ubicaría en sentido contrario a la evolución experimentada por el Estado Mexicano con la trascendental reforma a la Constitución Federal del 10 de junio de 2011 en materia de derechos humanos, ya que con ella estamos dejando atrás al Estado de la Ley, en el que la regla se impone sobre el derecho y que coloca a conceptos como la seguridad jurídica en la base legitimadora de todo el sistema ya que como bien señala el Dr. Rodolfo Luis Vigo “La seguridad jurídica entendida como previsibilidad jurídica fundada en las </w:t>
      </w:r>
      <w:r w:rsidRPr="00C27EF9">
        <w:rPr>
          <w:rFonts w:ascii="Palatino Linotype" w:hAnsi="Palatino Linotype" w:cs="Arial"/>
          <w:sz w:val="24"/>
          <w:szCs w:val="24"/>
        </w:rPr>
        <w:lastRenderedPageBreak/>
        <w:t>normas generales reproducidas estrictamente por los jueces, o como el orden pacífico surgido del libre goce y disponibilidad de los derechos individuales, monopolizará el horizonte axiológico de los juristas decimonónicos”.</w:t>
      </w:r>
    </w:p>
    <w:p w:rsidR="0046491C" w:rsidRPr="00C27EF9" w:rsidRDefault="0046491C" w:rsidP="00E34F08">
      <w:pPr>
        <w:pStyle w:val="Prrafodelista"/>
        <w:spacing w:line="360" w:lineRule="auto"/>
        <w:jc w:val="both"/>
        <w:rPr>
          <w:rFonts w:ascii="Palatino Linotype" w:hAnsi="Palatino Linotype" w:cs="Arial"/>
          <w:sz w:val="24"/>
          <w:szCs w:val="24"/>
        </w:rPr>
      </w:pPr>
    </w:p>
    <w:p w:rsidR="0046491C" w:rsidRPr="00C27EF9" w:rsidRDefault="0046491C" w:rsidP="00C91360">
      <w:pPr>
        <w:pStyle w:val="Prrafodelista"/>
        <w:numPr>
          <w:ilvl w:val="0"/>
          <w:numId w:val="1"/>
        </w:numPr>
        <w:spacing w:after="0" w:line="360" w:lineRule="auto"/>
        <w:ind w:left="0" w:firstLine="0"/>
        <w:jc w:val="both"/>
        <w:rPr>
          <w:rFonts w:ascii="Palatino Linotype" w:hAnsi="Palatino Linotype" w:cs="Arial"/>
          <w:sz w:val="24"/>
          <w:szCs w:val="24"/>
        </w:rPr>
      </w:pPr>
      <w:r w:rsidRPr="00C27EF9">
        <w:rPr>
          <w:rFonts w:ascii="Palatino Linotype" w:hAnsi="Palatino Linotype" w:cs="Arial"/>
          <w:sz w:val="24"/>
          <w:szCs w:val="24"/>
        </w:rPr>
        <w:t>Frente a esa realidad pasada, la reforma citada nos ubica completamente en nuevas condiciones bajo los criterios del Estado Constitucional de Derecho que nos debe conducir a valorar, junto con Sergio Cotta que “la obligatoriedad de la norma depende de la validez de su justificación, que es, por consiguiente el fundamento de aquella”,</w:t>
      </w:r>
      <w:r w:rsidRPr="00C27EF9">
        <w:rPr>
          <w:rStyle w:val="Refdenotaalpie"/>
          <w:rFonts w:ascii="Palatino Linotype" w:hAnsi="Palatino Linotype" w:cs="Arial"/>
          <w:sz w:val="24"/>
          <w:szCs w:val="24"/>
        </w:rPr>
        <w:footnoteReference w:id="4"/>
      </w:r>
      <w:r w:rsidRPr="00C27EF9">
        <w:rPr>
          <w:rFonts w:ascii="Palatino Linotype" w:hAnsi="Palatino Linotype" w:cs="Arial"/>
          <w:sz w:val="24"/>
          <w:szCs w:val="24"/>
        </w:rPr>
        <w:t xml:space="preserve"> y no puede existir validez en la aplicación de un criterio que propicia una riesgosa afectación al derecho de acceso a la información.</w:t>
      </w:r>
    </w:p>
    <w:p w:rsidR="0046491C" w:rsidRPr="00C27EF9" w:rsidRDefault="0046491C" w:rsidP="00E34F08">
      <w:pPr>
        <w:pStyle w:val="Prrafodelista"/>
        <w:spacing w:line="360" w:lineRule="auto"/>
        <w:jc w:val="both"/>
        <w:rPr>
          <w:rFonts w:ascii="Palatino Linotype" w:hAnsi="Palatino Linotype" w:cs="Arial"/>
          <w:sz w:val="24"/>
          <w:szCs w:val="24"/>
        </w:rPr>
      </w:pPr>
    </w:p>
    <w:p w:rsidR="0046491C" w:rsidRPr="00D97434" w:rsidRDefault="0046491C" w:rsidP="00C91360">
      <w:pPr>
        <w:pStyle w:val="Prrafodelista"/>
        <w:numPr>
          <w:ilvl w:val="0"/>
          <w:numId w:val="1"/>
        </w:numPr>
        <w:spacing w:after="0" w:line="360" w:lineRule="auto"/>
        <w:ind w:left="0" w:firstLine="0"/>
        <w:jc w:val="both"/>
        <w:rPr>
          <w:rFonts w:ascii="Palatino Linotype" w:hAnsi="Palatino Linotype" w:cs="Arial"/>
          <w:szCs w:val="24"/>
        </w:rPr>
      </w:pPr>
      <w:r w:rsidRPr="00C27EF9">
        <w:rPr>
          <w:rFonts w:ascii="Palatino Linotype" w:hAnsi="Palatino Linotype" w:cs="Arial"/>
          <w:sz w:val="24"/>
          <w:szCs w:val="24"/>
        </w:rPr>
        <w:t xml:space="preserve"> </w:t>
      </w:r>
      <w:r w:rsidRPr="001A0C85">
        <w:rPr>
          <w:rFonts w:ascii="Palatino Linotype" w:hAnsi="Palatino Linotype" w:cs="Arial"/>
          <w:sz w:val="24"/>
          <w:szCs w:val="24"/>
        </w:rPr>
        <w:t>Mucho menos si consideramos el siguiente criterio: DERECHOS HUMANOS. OBLIGACIÓN DE PROTEGERLOS EN TÉRMINOS DEL ARTÍCULO 1o., PÁRRAFO TERCERO, DE LA CONSTITUCIÓN POLÍTICA DE LOS ESTADOS UNIDOS MEXICANOS.</w:t>
      </w:r>
      <w:r w:rsidRPr="00D97434">
        <w:rPr>
          <w:rFonts w:ascii="Palatino Linotype" w:hAnsi="Palatino Linotype" w:cs="Arial"/>
          <w:szCs w:val="24"/>
        </w:rPr>
        <w:t xml:space="preserve"> El párrafo tercero del artículo 1o. de la Constitución Política de los Estados Unidos Mexicanos dispone como obligaciones generales de las autoridades del Estado Mexicano las consistentes en: i) Respetar; ii) Proteger; iii) Garantizar; y, iv) Promover los derechos humanos, de conformidad con los principios rectores de universalidad, interdependencia, indivisibilidad y progresividad. De ahí que para determinar si una conducta específica de la autoridad importa violación a derechos fundamentales, debe evaluarse si se apega o no a la obligación de protegerlos. Ésta puede caracterizarse como </w:t>
      </w:r>
      <w:r w:rsidRPr="00D97434">
        <w:rPr>
          <w:rFonts w:ascii="Palatino Linotype" w:hAnsi="Palatino Linotype" w:cs="Arial"/>
          <w:b/>
          <w:szCs w:val="24"/>
        </w:rPr>
        <w:t xml:space="preserve">el deber que tienen los órganos del Estado, dentro del margen de sus atribuciones, de </w:t>
      </w:r>
      <w:r w:rsidRPr="00D97434">
        <w:rPr>
          <w:rFonts w:ascii="Palatino Linotype" w:hAnsi="Palatino Linotype" w:cs="Arial"/>
          <w:b/>
          <w:szCs w:val="24"/>
        </w:rPr>
        <w:lastRenderedPageBreak/>
        <w:t>prevenir violaciones a los derechos fundamentales,</w:t>
      </w:r>
      <w:r w:rsidRPr="00D97434">
        <w:rPr>
          <w:rFonts w:ascii="Palatino Linotype" w:hAnsi="Palatino Linotype" w:cs="Arial"/>
          <w:szCs w:val="24"/>
        </w:rPr>
        <w:t xml:space="preserve"> ya sea que provengan de una autoridad o de algún particular y, por ello, </w:t>
      </w:r>
      <w:r w:rsidRPr="00D97434">
        <w:rPr>
          <w:rFonts w:ascii="Palatino Linotype" w:hAnsi="Palatino Linotype" w:cs="Arial"/>
          <w:b/>
          <w:szCs w:val="24"/>
        </w:rPr>
        <w:t>debe contarse</w:t>
      </w:r>
      <w:r w:rsidRPr="00D97434">
        <w:rPr>
          <w:rFonts w:ascii="Palatino Linotype" w:hAnsi="Palatino Linotype" w:cs="Arial"/>
          <w:szCs w:val="24"/>
        </w:rPr>
        <w:t xml:space="preserve"> tanto </w:t>
      </w:r>
      <w:r w:rsidRPr="00D97434">
        <w:rPr>
          <w:rFonts w:ascii="Palatino Linotype" w:hAnsi="Palatino Linotype" w:cs="Arial"/>
          <w:b/>
          <w:szCs w:val="24"/>
        </w:rPr>
        <w:t>con mecanismos</w:t>
      </w:r>
      <w:r w:rsidRPr="00D97434">
        <w:rPr>
          <w:rFonts w:ascii="Palatino Linotype" w:hAnsi="Palatino Linotype" w:cs="Arial"/>
          <w:szCs w:val="24"/>
        </w:rPr>
        <w:t xml:space="preserve"> de vigilancia como </w:t>
      </w:r>
      <w:r w:rsidRPr="00D97434">
        <w:rPr>
          <w:rFonts w:ascii="Palatino Linotype" w:hAnsi="Palatino Linotype" w:cs="Arial"/>
          <w:b/>
          <w:szCs w:val="24"/>
        </w:rPr>
        <w:t>de reacción ante el riesgo de vulneración del derecho, de forma que se impida la consumación de la violación. En este último sentido, su cumplimiento es inmediatamente exigible, ya que como la conducta estatal debe encaminarse a resguardar a las personas de las interferencias a sus derechos provenientes de los propios agentes del Estado</w:t>
      </w:r>
      <w:r w:rsidRPr="00D97434">
        <w:rPr>
          <w:rFonts w:ascii="Palatino Linotype" w:hAnsi="Palatino Linotype" w:cs="Arial"/>
          <w:szCs w:val="24"/>
        </w:rPr>
        <w:t xml:space="preserve"> como de otros particulares, este fin se logra, en principio, mediante la actividad legislativa y de vigilancia en su cumplimiento y, si esto es insuficiente, mediante las acciones necesarias para impedir la consumación de la violación a los derechos. De ahí que, una vez conocido el riesgo de vulneración a un derecho humano, el Estado incumple su obligación si no realiza acción alguna, sobre todo, porque, en el caso de sus propios agentes, está obligado a saber todo lo que hacen. [TA] Tesis: XXVII.3o.3 CS (10a.) Tribunales Colegiados de Circuito. Décima Época, Gaceta del Semanario Judicial de la Federación, Libro 11, Octubre de 2014, Tomo III, Página: 2840.</w:t>
      </w:r>
    </w:p>
    <w:p w:rsidR="0046491C" w:rsidRPr="00C27EF9" w:rsidRDefault="0046491C" w:rsidP="00E34F08">
      <w:pPr>
        <w:pStyle w:val="Prrafodelista"/>
        <w:spacing w:after="0" w:line="360" w:lineRule="auto"/>
        <w:ind w:left="426"/>
        <w:jc w:val="both"/>
        <w:rPr>
          <w:rFonts w:ascii="Palatino Linotype" w:hAnsi="Palatino Linotype" w:cs="Arial"/>
          <w:sz w:val="24"/>
          <w:szCs w:val="24"/>
        </w:rPr>
      </w:pPr>
    </w:p>
    <w:p w:rsidR="0046491C" w:rsidRPr="00C27EF9" w:rsidRDefault="0046491C" w:rsidP="00C91360">
      <w:pPr>
        <w:pStyle w:val="Prrafodelista"/>
        <w:numPr>
          <w:ilvl w:val="0"/>
          <w:numId w:val="1"/>
        </w:numPr>
        <w:spacing w:after="0" w:line="360" w:lineRule="auto"/>
        <w:ind w:left="0" w:firstLine="0"/>
        <w:jc w:val="both"/>
        <w:rPr>
          <w:rFonts w:ascii="Palatino Linotype" w:hAnsi="Palatino Linotype" w:cs="Arial"/>
          <w:sz w:val="24"/>
          <w:szCs w:val="24"/>
        </w:rPr>
      </w:pPr>
      <w:r w:rsidRPr="00C27EF9">
        <w:rPr>
          <w:rFonts w:ascii="Palatino Linotype" w:hAnsi="Palatino Linotype" w:cs="Arial"/>
          <w:sz w:val="24"/>
          <w:szCs w:val="24"/>
        </w:rPr>
        <w:t xml:space="preserve"> Para el caso que nos ocupa y en general es innecesario incorporar en las resoluciones de un Órgano Garante como lo es el Instituto de Transparencia, Acceso a la Información Pública y Protección de Datos Personales del Estado de México y  Municipios a los actos consentidos  toda vez que los particulares al no impugnar alguno de los requerimientos solicitados, y de la respuesta ofrecida por parte de los </w:t>
      </w:r>
      <w:r w:rsidRPr="00C27EF9">
        <w:rPr>
          <w:rFonts w:ascii="Palatino Linotype" w:hAnsi="Palatino Linotype" w:cs="Arial"/>
          <w:b/>
          <w:sz w:val="24"/>
          <w:szCs w:val="24"/>
        </w:rPr>
        <w:t>SUJETOS OBLIGADOS</w:t>
      </w:r>
      <w:r w:rsidRPr="00C27EF9">
        <w:rPr>
          <w:rFonts w:ascii="Palatino Linotype" w:hAnsi="Palatino Linotype" w:cs="Arial"/>
          <w:sz w:val="24"/>
          <w:szCs w:val="24"/>
        </w:rPr>
        <w:t xml:space="preserve"> sea evidente la falta de alguno de ellos, en ese tenor los particulares se ven impedidos, en los hechos, a acceder a una información que fue solicitada. Ante tales casos, considero, este Órgano Garante debe cumplir con las obligaciones señaladas en el párrafo tercero del artículo primero de la Constitución </w:t>
      </w:r>
      <w:r w:rsidRPr="00C27EF9">
        <w:rPr>
          <w:rFonts w:ascii="Palatino Linotype" w:hAnsi="Palatino Linotype" w:cs="Arial"/>
          <w:sz w:val="24"/>
          <w:szCs w:val="24"/>
        </w:rPr>
        <w:lastRenderedPageBreak/>
        <w:t>Federal, lo que es posible a través de la suplencia de la queja, instrumento adecuado para prevenir una posible vulneración al derecho de acceso a la información y que además se encuentra disponible para ser operado por esta autoridad.</w:t>
      </w:r>
    </w:p>
    <w:p w:rsidR="00DF6F7E" w:rsidRPr="00C27EF9" w:rsidRDefault="00DF6F7E" w:rsidP="00E34F08">
      <w:pPr>
        <w:pStyle w:val="Prrafodelista"/>
        <w:spacing w:line="360" w:lineRule="auto"/>
        <w:rPr>
          <w:rFonts w:ascii="Palatino Linotype" w:hAnsi="Palatino Linotype" w:cs="Arial"/>
          <w:sz w:val="24"/>
          <w:szCs w:val="24"/>
        </w:rPr>
      </w:pPr>
    </w:p>
    <w:p w:rsidR="0046491C" w:rsidRPr="00C27EF9" w:rsidRDefault="0046491C" w:rsidP="00C91360">
      <w:pPr>
        <w:pStyle w:val="Prrafodelista"/>
        <w:numPr>
          <w:ilvl w:val="0"/>
          <w:numId w:val="1"/>
        </w:numPr>
        <w:spacing w:after="0" w:line="360" w:lineRule="auto"/>
        <w:ind w:left="0" w:firstLine="0"/>
        <w:jc w:val="both"/>
        <w:rPr>
          <w:rFonts w:ascii="Palatino Linotype" w:hAnsi="Palatino Linotype" w:cs="Arial"/>
          <w:sz w:val="24"/>
          <w:szCs w:val="24"/>
        </w:rPr>
      </w:pPr>
      <w:r w:rsidRPr="00C27EF9">
        <w:rPr>
          <w:rFonts w:ascii="Palatino Linotype" w:hAnsi="Palatino Linotype" w:cs="Arial"/>
          <w:sz w:val="24"/>
          <w:szCs w:val="24"/>
        </w:rPr>
        <w:t xml:space="preserve"> Pero además, la figura de la suplencia de la queja es central para apreciar la verdadera fuerza de los derechos humanos, entre ellos el de acceso a la información, que demandan una actuación clara, contundente y eficaz por parte de todas las autoridades, en el que ya no resultan admisibles las excusas de procedibilidad, ya que en todo momento nos encontramos ante un derecho más alto que, puede considerarse en los siguientes términos:</w:t>
      </w:r>
    </w:p>
    <w:p w:rsidR="0001046D" w:rsidRPr="00C27EF9" w:rsidRDefault="0001046D" w:rsidP="00E34F08">
      <w:pPr>
        <w:pStyle w:val="Prrafodelista"/>
        <w:spacing w:after="0" w:line="360" w:lineRule="auto"/>
        <w:ind w:left="284"/>
        <w:jc w:val="both"/>
        <w:rPr>
          <w:rFonts w:ascii="Palatino Linotype" w:hAnsi="Palatino Linotype" w:cs="Arial"/>
          <w:sz w:val="24"/>
          <w:szCs w:val="24"/>
        </w:rPr>
      </w:pPr>
    </w:p>
    <w:p w:rsidR="0046491C" w:rsidRPr="00C27EF9" w:rsidRDefault="0046491C" w:rsidP="00C91360">
      <w:pPr>
        <w:spacing w:after="0" w:line="360" w:lineRule="auto"/>
        <w:ind w:left="567" w:right="618"/>
        <w:jc w:val="both"/>
        <w:rPr>
          <w:rFonts w:ascii="Palatino Linotype" w:hAnsi="Palatino Linotype" w:cs="Arial"/>
          <w:i/>
          <w:sz w:val="24"/>
          <w:szCs w:val="24"/>
        </w:rPr>
      </w:pPr>
      <w:r w:rsidRPr="00C27EF9">
        <w:rPr>
          <w:rFonts w:ascii="Palatino Linotype" w:hAnsi="Palatino Linotype" w:cs="Arial"/>
          <w:i/>
          <w:sz w:val="24"/>
          <w:szCs w:val="24"/>
        </w:rPr>
        <w:t>“Las Constituciones contemporáneas intentan poner remedio a estos efectos destructivos del orden jurídico mediante la previsión de un derecho más alto, dotado de fuerza obligatoria incluso para el legislador. El objetivo es condicionar y, por tanto, contener, orientándolos, los desarrollos contradictorios de la producción del derecho, generados por la heterogeneidad y ocasionalidad de las presiones sociales que se ejercen sobre el mismo”.</w:t>
      </w:r>
      <w:r w:rsidRPr="00C27EF9">
        <w:rPr>
          <w:rStyle w:val="Refdenotaalpie"/>
          <w:rFonts w:ascii="Palatino Linotype" w:hAnsi="Palatino Linotype" w:cs="Arial"/>
          <w:i/>
          <w:sz w:val="24"/>
          <w:szCs w:val="24"/>
        </w:rPr>
        <w:footnoteReference w:id="5"/>
      </w:r>
    </w:p>
    <w:p w:rsidR="009156AC" w:rsidRPr="00C27EF9" w:rsidRDefault="009156AC" w:rsidP="00E34F08">
      <w:pPr>
        <w:spacing w:after="0" w:line="360" w:lineRule="auto"/>
        <w:ind w:left="1134" w:right="618"/>
        <w:jc w:val="both"/>
        <w:rPr>
          <w:rFonts w:ascii="Palatino Linotype" w:hAnsi="Palatino Linotype" w:cs="Arial"/>
          <w:i/>
          <w:sz w:val="24"/>
          <w:szCs w:val="24"/>
        </w:rPr>
      </w:pPr>
    </w:p>
    <w:p w:rsidR="0046491C" w:rsidRPr="00C27EF9" w:rsidRDefault="0046491C" w:rsidP="00C91360">
      <w:pPr>
        <w:pStyle w:val="Prrafodelista"/>
        <w:numPr>
          <w:ilvl w:val="0"/>
          <w:numId w:val="1"/>
        </w:numPr>
        <w:spacing w:after="0" w:line="360" w:lineRule="auto"/>
        <w:ind w:left="0" w:firstLine="0"/>
        <w:jc w:val="both"/>
        <w:rPr>
          <w:rFonts w:ascii="Palatino Linotype" w:hAnsi="Palatino Linotype" w:cs="Arial"/>
          <w:sz w:val="24"/>
          <w:szCs w:val="24"/>
        </w:rPr>
      </w:pPr>
      <w:r w:rsidRPr="00C27EF9">
        <w:rPr>
          <w:rFonts w:ascii="Palatino Linotype" w:hAnsi="Palatino Linotype" w:cs="Arial"/>
          <w:sz w:val="24"/>
          <w:szCs w:val="24"/>
        </w:rPr>
        <w:t xml:space="preserve"> Por lo tanto, frente a ese derecho más alto, los argumentos formales deben ser derrotados por la obligación que el legislador ordinario nos ha impuesto para asegurar la efectiva protección del derecho en cuestión a través del ejercicio de la </w:t>
      </w:r>
      <w:r w:rsidRPr="00C27EF9">
        <w:rPr>
          <w:rFonts w:ascii="Palatino Linotype" w:hAnsi="Palatino Linotype" w:cs="Arial"/>
          <w:sz w:val="24"/>
          <w:szCs w:val="24"/>
        </w:rPr>
        <w:lastRenderedPageBreak/>
        <w:t>figura de la suplencia de la queja, con lo que se pretende asegurar una efectiva protección. Declinar esa obligación por la experiencia pasada nos aleja del mandato constitucional y pretende otorgar plena certeza a la presunción de que la solicitud ha sido atendida, lo que de no ser así, afecta el derecho humano.</w:t>
      </w:r>
    </w:p>
    <w:p w:rsidR="0046491C" w:rsidRPr="00C27EF9" w:rsidRDefault="0046491C" w:rsidP="00E34F08">
      <w:pPr>
        <w:pStyle w:val="Prrafodelista"/>
        <w:spacing w:after="0" w:line="360" w:lineRule="auto"/>
        <w:ind w:left="426"/>
        <w:jc w:val="both"/>
        <w:rPr>
          <w:rFonts w:ascii="Palatino Linotype" w:hAnsi="Palatino Linotype" w:cs="Arial"/>
          <w:sz w:val="24"/>
          <w:szCs w:val="24"/>
        </w:rPr>
      </w:pPr>
    </w:p>
    <w:p w:rsidR="0046491C" w:rsidRPr="00C27EF9" w:rsidRDefault="0046491C" w:rsidP="00C91360">
      <w:pPr>
        <w:pStyle w:val="Prrafodelista"/>
        <w:numPr>
          <w:ilvl w:val="0"/>
          <w:numId w:val="1"/>
        </w:numPr>
        <w:spacing w:line="360" w:lineRule="auto"/>
        <w:ind w:left="0" w:firstLine="0"/>
        <w:jc w:val="both"/>
        <w:rPr>
          <w:rFonts w:ascii="Palatino Linotype" w:hAnsi="Palatino Linotype" w:cs="Arial"/>
          <w:sz w:val="24"/>
          <w:szCs w:val="24"/>
        </w:rPr>
      </w:pPr>
      <w:r w:rsidRPr="00C27EF9">
        <w:rPr>
          <w:rFonts w:ascii="Palatino Linotype" w:hAnsi="Palatino Linotype" w:cs="Arial"/>
          <w:sz w:val="24"/>
          <w:szCs w:val="24"/>
        </w:rPr>
        <w:t>Considero que no se justifica el argumento que se ha señalado en múltiples ocasiones y que comparte la mayoría en relación a “si no ésta expresa razón o motivo de inconformidad en contra de todos los rubros solicitados, dichos rubros deben declararse atendidos, pues se infiere que el recurrente ésta conforme con la información entregada al no contravenir la misma”. Este Órgano Garante debe revisar en forma minuciosa en todos los casos, si se le entregó a los peticionarios todos y cada uno de los puntos que fueron solicitados, de esta forma se podrá verificar si el particular no se inconforma porque en efecto le han sido colmadas sus peticiones y por ello se tiene por satisfecho el Derecho de Acceder a la Información Pública, o bien, no le han sido colmados todos sus requerimientos y omite manifestarse al respecto, por diversos factores que a su alrededor ocurran y le puedan afectar. Además de ser un Órgano Garante, somos un Órgano Revisor y en ese sentido no podemos pasar inadvertido el hecho de no analizar la totalidad de requerimientos solicitados cuando no se pronuncien al respecto, cuando sea evidente que no han sido colmados, en ese sentido no estaríamos garantizando el derecho fundamental.</w:t>
      </w:r>
    </w:p>
    <w:p w:rsidR="00DF6F7E" w:rsidRPr="00C27EF9" w:rsidRDefault="00DF6F7E" w:rsidP="00E34F08">
      <w:pPr>
        <w:pStyle w:val="Prrafodelista"/>
        <w:spacing w:line="360" w:lineRule="auto"/>
        <w:jc w:val="both"/>
        <w:rPr>
          <w:rFonts w:ascii="Palatino Linotype" w:hAnsi="Palatino Linotype" w:cs="Arial"/>
          <w:sz w:val="24"/>
          <w:szCs w:val="24"/>
        </w:rPr>
      </w:pPr>
    </w:p>
    <w:p w:rsidR="00D97434" w:rsidRDefault="0046491C" w:rsidP="00D97434">
      <w:pPr>
        <w:pStyle w:val="Prrafodelista"/>
        <w:numPr>
          <w:ilvl w:val="0"/>
          <w:numId w:val="1"/>
        </w:numPr>
        <w:spacing w:after="0" w:line="360" w:lineRule="auto"/>
        <w:ind w:left="0" w:firstLine="0"/>
        <w:jc w:val="both"/>
        <w:rPr>
          <w:rFonts w:ascii="Palatino Linotype" w:hAnsi="Palatino Linotype" w:cs="Arial"/>
          <w:sz w:val="24"/>
          <w:szCs w:val="24"/>
        </w:rPr>
      </w:pPr>
      <w:r w:rsidRPr="00C27EF9">
        <w:rPr>
          <w:rFonts w:ascii="Palatino Linotype" w:hAnsi="Palatino Linotype" w:cs="Arial"/>
          <w:sz w:val="24"/>
          <w:szCs w:val="24"/>
        </w:rPr>
        <w:lastRenderedPageBreak/>
        <w:t xml:space="preserve">Adoptar la posición que propongo pretende ordenar un acto de plena certeza, el que siempre puede ser matizado por un “en su caso” que restringe la medida ordenada a que ésta no se haya realizado ya, lo que puede constituir un exceso, cierto, pero a todas luces admisible en materia de protección del derecho humano lo que, considero, fortalece al Estado Constitucional de Derecho, en lugar de vulnerarlo. </w:t>
      </w:r>
    </w:p>
    <w:p w:rsidR="00D97434" w:rsidRPr="00D97434" w:rsidRDefault="00D97434" w:rsidP="00D97434">
      <w:pPr>
        <w:pStyle w:val="Prrafodelista"/>
        <w:rPr>
          <w:rFonts w:ascii="Palatino Linotype" w:hAnsi="Palatino Linotype" w:cs="Arial"/>
          <w:sz w:val="24"/>
          <w:szCs w:val="24"/>
        </w:rPr>
      </w:pPr>
    </w:p>
    <w:p w:rsidR="00D97434" w:rsidRDefault="00D97434" w:rsidP="00D97434">
      <w:pPr>
        <w:spacing w:after="0" w:line="360" w:lineRule="auto"/>
        <w:jc w:val="both"/>
        <w:rPr>
          <w:rFonts w:ascii="Palatino Linotype" w:hAnsi="Palatino Linotype" w:cs="Arial"/>
          <w:sz w:val="24"/>
          <w:szCs w:val="24"/>
        </w:rPr>
      </w:pPr>
    </w:p>
    <w:p w:rsidR="009C154D" w:rsidRPr="00D97434" w:rsidRDefault="009C154D" w:rsidP="00D97434">
      <w:pPr>
        <w:spacing w:after="0" w:line="360" w:lineRule="auto"/>
        <w:jc w:val="both"/>
        <w:rPr>
          <w:rFonts w:ascii="Palatino Linotype" w:hAnsi="Palatino Linotype" w:cs="Arial"/>
          <w:sz w:val="24"/>
          <w:szCs w:val="24"/>
        </w:rPr>
      </w:pPr>
    </w:p>
    <w:p w:rsidR="0046491C" w:rsidRPr="00C27EF9" w:rsidRDefault="0046491C" w:rsidP="00E34F08">
      <w:pPr>
        <w:pStyle w:val="Sinespaciado"/>
        <w:spacing w:line="360" w:lineRule="auto"/>
        <w:jc w:val="center"/>
        <w:rPr>
          <w:rFonts w:ascii="Palatino Linotype" w:hAnsi="Palatino Linotype"/>
          <w:b/>
          <w:sz w:val="24"/>
          <w:szCs w:val="24"/>
        </w:rPr>
      </w:pPr>
      <w:r w:rsidRPr="00C27EF9">
        <w:rPr>
          <w:rFonts w:ascii="Palatino Linotype" w:hAnsi="Palatino Linotype"/>
          <w:b/>
          <w:sz w:val="24"/>
          <w:szCs w:val="24"/>
        </w:rPr>
        <w:t>JOSÉ GUADALUPE LUNA HERNÁNDEZ</w:t>
      </w:r>
    </w:p>
    <w:p w:rsidR="00D97434" w:rsidRDefault="0046491C" w:rsidP="00D97434">
      <w:pPr>
        <w:spacing w:after="0" w:line="360" w:lineRule="auto"/>
        <w:jc w:val="center"/>
        <w:rPr>
          <w:rFonts w:ascii="Palatino Linotype" w:hAnsi="Palatino Linotype"/>
          <w:b/>
          <w:sz w:val="24"/>
          <w:szCs w:val="24"/>
        </w:rPr>
      </w:pPr>
      <w:r w:rsidRPr="00C27EF9">
        <w:rPr>
          <w:rFonts w:ascii="Palatino Linotype" w:hAnsi="Palatino Linotype"/>
          <w:b/>
          <w:sz w:val="24"/>
          <w:szCs w:val="24"/>
        </w:rPr>
        <w:t>COMISIONADO</w:t>
      </w:r>
    </w:p>
    <w:p w:rsidR="009C154D" w:rsidRDefault="009C154D" w:rsidP="00D97434">
      <w:pPr>
        <w:spacing w:after="0" w:line="360" w:lineRule="auto"/>
        <w:jc w:val="center"/>
        <w:rPr>
          <w:rFonts w:ascii="Palatino Linotype" w:hAnsi="Palatino Linotype"/>
          <w:b/>
          <w:sz w:val="24"/>
          <w:szCs w:val="24"/>
        </w:rPr>
      </w:pPr>
      <w:r>
        <w:rPr>
          <w:rFonts w:ascii="Palatino Linotype" w:hAnsi="Palatino Linotype"/>
          <w:b/>
          <w:sz w:val="24"/>
          <w:szCs w:val="24"/>
        </w:rPr>
        <w:t xml:space="preserve">(Rúbrica) </w:t>
      </w:r>
    </w:p>
    <w:p w:rsidR="009C154D" w:rsidRDefault="009C154D" w:rsidP="00D97434">
      <w:pPr>
        <w:spacing w:line="360" w:lineRule="auto"/>
        <w:jc w:val="right"/>
        <w:rPr>
          <w:rFonts w:ascii="Palatino Linotype" w:hAnsi="Palatino Linotype"/>
          <w:b/>
          <w:sz w:val="24"/>
          <w:szCs w:val="24"/>
        </w:rPr>
      </w:pPr>
    </w:p>
    <w:p w:rsidR="009C154D" w:rsidRDefault="009C154D" w:rsidP="00D97434">
      <w:pPr>
        <w:spacing w:line="360" w:lineRule="auto"/>
        <w:jc w:val="right"/>
        <w:rPr>
          <w:rFonts w:ascii="Palatino Linotype" w:hAnsi="Palatino Linotype"/>
          <w:b/>
          <w:sz w:val="24"/>
          <w:szCs w:val="24"/>
        </w:rPr>
      </w:pPr>
      <w:bookmarkStart w:id="4" w:name="_GoBack"/>
      <w:bookmarkEnd w:id="4"/>
    </w:p>
    <w:p w:rsidR="00575478" w:rsidRPr="00C27EF9" w:rsidRDefault="00C91360" w:rsidP="00D97434">
      <w:pPr>
        <w:spacing w:line="360" w:lineRule="auto"/>
        <w:jc w:val="right"/>
        <w:rPr>
          <w:rFonts w:ascii="Palatino Linotype" w:hAnsi="Palatino Linotype"/>
          <w:b/>
          <w:sz w:val="24"/>
          <w:szCs w:val="24"/>
        </w:rPr>
      </w:pPr>
      <w:r w:rsidRPr="00C27EF9">
        <w:rPr>
          <w:rFonts w:ascii="Palatino Linotype" w:hAnsi="Palatino Linotype"/>
          <w:b/>
          <w:sz w:val="24"/>
          <w:szCs w:val="24"/>
        </w:rPr>
        <w:t>JGLH/MPBR</w:t>
      </w:r>
      <w:r w:rsidR="00575478" w:rsidRPr="00C27EF9">
        <w:rPr>
          <w:rFonts w:ascii="Palatino Linotype" w:hAnsi="Palatino Linotype"/>
          <w:b/>
          <w:sz w:val="24"/>
          <w:szCs w:val="24"/>
        </w:rPr>
        <w:t>.</w:t>
      </w:r>
    </w:p>
    <w:sectPr w:rsidR="00575478" w:rsidRPr="00C27EF9" w:rsidSect="001A0C85">
      <w:headerReference w:type="even" r:id="rId10"/>
      <w:headerReference w:type="default" r:id="rId11"/>
      <w:footerReference w:type="even" r:id="rId12"/>
      <w:footerReference w:type="default" r:id="rId13"/>
      <w:headerReference w:type="first" r:id="rId14"/>
      <w:footerReference w:type="first" r:id="rId15"/>
      <w:pgSz w:w="12240" w:h="15840" w:code="1"/>
      <w:pgMar w:top="2438" w:right="1701" w:bottom="243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2EF5" w:rsidRDefault="00682EF5" w:rsidP="00E706DA">
      <w:pPr>
        <w:spacing w:after="0" w:line="240" w:lineRule="auto"/>
      </w:pPr>
      <w:r>
        <w:separator/>
      </w:r>
    </w:p>
  </w:endnote>
  <w:endnote w:type="continuationSeparator" w:id="0">
    <w:p w:rsidR="00682EF5" w:rsidRDefault="00682EF5" w:rsidP="00E70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54D" w:rsidRDefault="009C154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465616"/>
      <w:docPartObj>
        <w:docPartGallery w:val="Page Numbers (Bottom of Page)"/>
        <w:docPartUnique/>
      </w:docPartObj>
    </w:sdtPr>
    <w:sdtContent>
      <w:sdt>
        <w:sdtPr>
          <w:id w:val="1012499541"/>
          <w:docPartObj>
            <w:docPartGallery w:val="Page Numbers (Top of Page)"/>
            <w:docPartUnique/>
          </w:docPartObj>
        </w:sdtPr>
        <w:sdtContent>
          <w:p w:rsidR="009C154D" w:rsidRDefault="009C154D">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6A4FA8">
              <w:rPr>
                <w:rFonts w:ascii="Palatino Linotype" w:hAnsi="Palatino Linotype"/>
                <w:b/>
                <w:bCs/>
                <w:noProof/>
                <w:sz w:val="20"/>
                <w:szCs w:val="20"/>
              </w:rPr>
              <w:t>18</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6A4FA8">
              <w:rPr>
                <w:rFonts w:ascii="Palatino Linotype" w:hAnsi="Palatino Linotype"/>
                <w:b/>
                <w:bCs/>
                <w:noProof/>
                <w:sz w:val="20"/>
                <w:szCs w:val="20"/>
              </w:rPr>
              <w:t>18</w:t>
            </w:r>
            <w:r w:rsidRPr="0052203D">
              <w:rPr>
                <w:rFonts w:ascii="Palatino Linotype" w:hAnsi="Palatino Linotype"/>
                <w:b/>
                <w:bCs/>
                <w:sz w:val="20"/>
                <w:szCs w:val="20"/>
              </w:rPr>
              <w:fldChar w:fldCharType="end"/>
            </w:r>
          </w:p>
        </w:sdtContent>
      </w:sdt>
    </w:sdtContent>
  </w:sdt>
  <w:p w:rsidR="009C154D" w:rsidRDefault="009C154D">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54D" w:rsidRDefault="009C154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2EF5" w:rsidRDefault="00682EF5" w:rsidP="00E706DA">
      <w:pPr>
        <w:spacing w:after="0" w:line="240" w:lineRule="auto"/>
      </w:pPr>
      <w:r>
        <w:separator/>
      </w:r>
    </w:p>
  </w:footnote>
  <w:footnote w:type="continuationSeparator" w:id="0">
    <w:p w:rsidR="00682EF5" w:rsidRDefault="00682EF5" w:rsidP="00E706DA">
      <w:pPr>
        <w:spacing w:after="0" w:line="240" w:lineRule="auto"/>
      </w:pPr>
      <w:r>
        <w:continuationSeparator/>
      </w:r>
    </w:p>
  </w:footnote>
  <w:footnote w:id="1">
    <w:p w:rsidR="009C154D" w:rsidRDefault="009C154D" w:rsidP="0046491C">
      <w:pPr>
        <w:pStyle w:val="Textonotapie"/>
      </w:pPr>
      <w:r>
        <w:rPr>
          <w:rStyle w:val="Refdenotaalpie"/>
        </w:rPr>
        <w:footnoteRef/>
      </w:r>
      <w:r>
        <w:t xml:space="preserve"> Instituto de Investigaciones Jurídicas. </w:t>
      </w:r>
      <w:r w:rsidRPr="00C775C0">
        <w:rPr>
          <w:i/>
        </w:rPr>
        <w:t>Diccionario Jurídico Mexicano.</w:t>
      </w:r>
      <w:r>
        <w:t xml:space="preserve"> México, Coed. Porrúa e Instituto de Investigaciones Jurídicas de la UNAM, 2001. Pág. 3593.</w:t>
      </w:r>
    </w:p>
  </w:footnote>
  <w:footnote w:id="2">
    <w:p w:rsidR="009C154D" w:rsidRDefault="009C154D" w:rsidP="0046491C">
      <w:pPr>
        <w:pStyle w:val="Textonotapie"/>
      </w:pPr>
      <w:r>
        <w:rPr>
          <w:rStyle w:val="Refdenotaalpie"/>
        </w:rPr>
        <w:footnoteRef/>
      </w:r>
      <w:r>
        <w:t xml:space="preserve"> </w:t>
      </w:r>
      <w:r w:rsidRPr="00C775C0">
        <w:rPr>
          <w:i/>
        </w:rPr>
        <w:t>Ibídem</w:t>
      </w:r>
      <w:r>
        <w:t>. Pág. 3594.</w:t>
      </w:r>
    </w:p>
  </w:footnote>
  <w:footnote w:id="3">
    <w:p w:rsidR="009C154D" w:rsidRDefault="009C154D" w:rsidP="0046491C">
      <w:pPr>
        <w:pStyle w:val="Textonotapie"/>
        <w:jc w:val="both"/>
      </w:pPr>
      <w:r>
        <w:rPr>
          <w:rStyle w:val="Refdenotaalpie"/>
        </w:rPr>
        <w:footnoteRef/>
      </w:r>
      <w:r>
        <w:t xml:space="preserve"> CARBONELL, MIGUEL. “Las obligaciones del Estado en el artículo 1º. de la Constitución mexicana” en CARBONELL, Miguel y SALAZAR, Pedro, coords. La reforma constitucional de derechos humanos. 2ª. Edición, México. Coed. Porrúa e Instituto de Investigaciones Jurídicas de la UNAM, 2012. Pág. 68.</w:t>
      </w:r>
    </w:p>
  </w:footnote>
  <w:footnote w:id="4">
    <w:p w:rsidR="009C154D" w:rsidRDefault="009C154D" w:rsidP="0046491C">
      <w:pPr>
        <w:pStyle w:val="Textonotapie"/>
      </w:pPr>
      <w:r>
        <w:rPr>
          <w:rStyle w:val="Refdenotaalpie"/>
        </w:rPr>
        <w:footnoteRef/>
      </w:r>
      <w:r>
        <w:t xml:space="preserve"> COTTA, Sergio. </w:t>
      </w:r>
      <w:r w:rsidRPr="00F50476">
        <w:rPr>
          <w:i/>
        </w:rPr>
        <w:t>Justificación y obligatoriedad de las normas.</w:t>
      </w:r>
      <w:r>
        <w:t xml:space="preserve"> Madrid. Ed. Ceura, 1987. Pág. 10.</w:t>
      </w:r>
    </w:p>
  </w:footnote>
  <w:footnote w:id="5">
    <w:p w:rsidR="009C154D" w:rsidRDefault="009C154D" w:rsidP="0046491C">
      <w:pPr>
        <w:pStyle w:val="Textonotapie"/>
      </w:pPr>
      <w:r>
        <w:rPr>
          <w:rStyle w:val="Refdenotaalpie"/>
        </w:rPr>
        <w:footnoteRef/>
      </w:r>
      <w:r>
        <w:t xml:space="preserve"> Zagrebelsky, Gustavo. </w:t>
      </w:r>
      <w:r w:rsidRPr="00F50476">
        <w:rPr>
          <w:i/>
        </w:rPr>
        <w:t>El derecho dúctil. Ley, derechos, justicia.</w:t>
      </w:r>
      <w:r>
        <w:t xml:space="preserve"> Trad. Marina Gascón, 10ª. Edición, Madrid, Ed. Trota, 2011. Pág. 40.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54D" w:rsidRDefault="009C154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6" o:spid="_x0000_s2050" type="#_x0000_t136" style="position:absolute;margin-left:0;margin-top:0;width:541.8pt;height:81.25pt;rotation:315;z-index:-251656192;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54D" w:rsidRDefault="009C154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7" o:spid="_x0000_s2051"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p w:rsidR="009C154D" w:rsidRDefault="009C154D">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54D" w:rsidRDefault="009C154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5" o:spid="_x0000_s2049" type="#_x0000_t136" style="position:absolute;margin-left:0;margin-top:0;width:541.8pt;height:81.25pt;rotation:315;z-index:-25165824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F1CDB"/>
    <w:multiLevelType w:val="hybridMultilevel"/>
    <w:tmpl w:val="D7A2F73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15:restartNumberingAfterBreak="0">
    <w:nsid w:val="099012DE"/>
    <w:multiLevelType w:val="hybridMultilevel"/>
    <w:tmpl w:val="EA74E3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89530D"/>
    <w:multiLevelType w:val="hybridMultilevel"/>
    <w:tmpl w:val="15584D4E"/>
    <w:lvl w:ilvl="0" w:tplc="A7BC820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15022D3A"/>
    <w:multiLevelType w:val="hybridMultilevel"/>
    <w:tmpl w:val="F56E487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4" w15:restartNumberingAfterBreak="0">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05433BC"/>
    <w:multiLevelType w:val="hybridMultilevel"/>
    <w:tmpl w:val="80E2E72C"/>
    <w:lvl w:ilvl="0" w:tplc="1EF86C9A">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E020DD5"/>
    <w:multiLevelType w:val="hybridMultilevel"/>
    <w:tmpl w:val="0AC6BA14"/>
    <w:lvl w:ilvl="0" w:tplc="C07C0AD6">
      <w:start w:val="1"/>
      <w:numFmt w:val="lowerLetter"/>
      <w:lvlText w:val="%1)"/>
      <w:lvlJc w:val="left"/>
      <w:pPr>
        <w:ind w:left="1554" w:hanging="360"/>
      </w:pPr>
      <w:rPr>
        <w:rFonts w:hint="default"/>
      </w:rPr>
    </w:lvl>
    <w:lvl w:ilvl="1" w:tplc="080A0019" w:tentative="1">
      <w:start w:val="1"/>
      <w:numFmt w:val="lowerLetter"/>
      <w:lvlText w:val="%2."/>
      <w:lvlJc w:val="left"/>
      <w:pPr>
        <w:ind w:left="2274" w:hanging="360"/>
      </w:pPr>
    </w:lvl>
    <w:lvl w:ilvl="2" w:tplc="080A001B" w:tentative="1">
      <w:start w:val="1"/>
      <w:numFmt w:val="lowerRoman"/>
      <w:lvlText w:val="%3."/>
      <w:lvlJc w:val="right"/>
      <w:pPr>
        <w:ind w:left="2994" w:hanging="180"/>
      </w:pPr>
    </w:lvl>
    <w:lvl w:ilvl="3" w:tplc="080A000F" w:tentative="1">
      <w:start w:val="1"/>
      <w:numFmt w:val="decimal"/>
      <w:lvlText w:val="%4."/>
      <w:lvlJc w:val="left"/>
      <w:pPr>
        <w:ind w:left="3714" w:hanging="360"/>
      </w:pPr>
    </w:lvl>
    <w:lvl w:ilvl="4" w:tplc="080A0019" w:tentative="1">
      <w:start w:val="1"/>
      <w:numFmt w:val="lowerLetter"/>
      <w:lvlText w:val="%5."/>
      <w:lvlJc w:val="left"/>
      <w:pPr>
        <w:ind w:left="4434" w:hanging="360"/>
      </w:pPr>
    </w:lvl>
    <w:lvl w:ilvl="5" w:tplc="080A001B" w:tentative="1">
      <w:start w:val="1"/>
      <w:numFmt w:val="lowerRoman"/>
      <w:lvlText w:val="%6."/>
      <w:lvlJc w:val="right"/>
      <w:pPr>
        <w:ind w:left="5154" w:hanging="180"/>
      </w:pPr>
    </w:lvl>
    <w:lvl w:ilvl="6" w:tplc="080A000F" w:tentative="1">
      <w:start w:val="1"/>
      <w:numFmt w:val="decimal"/>
      <w:lvlText w:val="%7."/>
      <w:lvlJc w:val="left"/>
      <w:pPr>
        <w:ind w:left="5874" w:hanging="360"/>
      </w:pPr>
    </w:lvl>
    <w:lvl w:ilvl="7" w:tplc="080A0019" w:tentative="1">
      <w:start w:val="1"/>
      <w:numFmt w:val="lowerLetter"/>
      <w:lvlText w:val="%8."/>
      <w:lvlJc w:val="left"/>
      <w:pPr>
        <w:ind w:left="6594" w:hanging="360"/>
      </w:pPr>
    </w:lvl>
    <w:lvl w:ilvl="8" w:tplc="080A001B" w:tentative="1">
      <w:start w:val="1"/>
      <w:numFmt w:val="lowerRoman"/>
      <w:lvlText w:val="%9."/>
      <w:lvlJc w:val="right"/>
      <w:pPr>
        <w:ind w:left="7314" w:hanging="180"/>
      </w:pPr>
    </w:lvl>
  </w:abstractNum>
  <w:abstractNum w:abstractNumId="7" w15:restartNumberingAfterBreak="0">
    <w:nsid w:val="403E5810"/>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7CA49EA"/>
    <w:multiLevelType w:val="hybridMultilevel"/>
    <w:tmpl w:val="99F60B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54A3428"/>
    <w:multiLevelType w:val="hybridMultilevel"/>
    <w:tmpl w:val="CD42EC9E"/>
    <w:lvl w:ilvl="0" w:tplc="E8D6F5EE">
      <w:start w:val="4"/>
      <w:numFmt w:val="upperRoman"/>
      <w:lvlText w:val="%1."/>
      <w:lvlJc w:val="left"/>
      <w:pPr>
        <w:ind w:left="1080" w:hanging="720"/>
      </w:pPr>
      <w:rPr>
        <w:rFonts w:ascii="Palatino Linotype" w:eastAsiaTheme="majorEastAsia" w:hAnsi="Palatino Linotype" w:cstheme="majorBidi"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77202FA"/>
    <w:multiLevelType w:val="hybridMultilevel"/>
    <w:tmpl w:val="8A766AD2"/>
    <w:lvl w:ilvl="0" w:tplc="72EA014A">
      <w:start w:val="1"/>
      <w:numFmt w:val="decimal"/>
      <w:lvlText w:val="%1."/>
      <w:lvlJc w:val="left"/>
      <w:pPr>
        <w:ind w:left="360" w:hanging="360"/>
      </w:pPr>
      <w:rPr>
        <w:rFonts w:ascii="Palatino Linotype" w:eastAsia="Times New Roman" w:hAnsi="Palatino Linotype"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7910C6E"/>
    <w:multiLevelType w:val="hybridMultilevel"/>
    <w:tmpl w:val="E14A8AFA"/>
    <w:lvl w:ilvl="0" w:tplc="9808DF0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C152896"/>
    <w:multiLevelType w:val="hybridMultilevel"/>
    <w:tmpl w:val="20E43D0E"/>
    <w:lvl w:ilvl="0" w:tplc="696A9FF4">
      <w:start w:val="3"/>
      <w:numFmt w:val="decimal"/>
      <w:lvlText w:val="%1."/>
      <w:lvlJc w:val="left"/>
      <w:pPr>
        <w:ind w:left="720" w:hanging="360"/>
      </w:pPr>
      <w:rPr>
        <w:rFonts w:eastAsia="Times New Roman" w:hint="default"/>
        <w:b/>
      </w:rPr>
    </w:lvl>
    <w:lvl w:ilvl="1" w:tplc="B84EF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78C12C5"/>
    <w:multiLevelType w:val="hybridMultilevel"/>
    <w:tmpl w:val="2C0AEE84"/>
    <w:lvl w:ilvl="0" w:tplc="336E63F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1"/>
  </w:num>
  <w:num w:numId="3">
    <w:abstractNumId w:val="4"/>
  </w:num>
  <w:num w:numId="4">
    <w:abstractNumId w:val="8"/>
  </w:num>
  <w:num w:numId="5">
    <w:abstractNumId w:val="10"/>
  </w:num>
  <w:num w:numId="6">
    <w:abstractNumId w:val="12"/>
  </w:num>
  <w:num w:numId="7">
    <w:abstractNumId w:val="14"/>
  </w:num>
  <w:num w:numId="8">
    <w:abstractNumId w:val="13"/>
  </w:num>
  <w:num w:numId="9">
    <w:abstractNumId w:val="16"/>
  </w:num>
  <w:num w:numId="10">
    <w:abstractNumId w:val="2"/>
  </w:num>
  <w:num w:numId="11">
    <w:abstractNumId w:val="15"/>
  </w:num>
  <w:num w:numId="12">
    <w:abstractNumId w:val="7"/>
  </w:num>
  <w:num w:numId="13">
    <w:abstractNumId w:val="3"/>
  </w:num>
  <w:num w:numId="14">
    <w:abstractNumId w:val="6"/>
  </w:num>
  <w:num w:numId="15">
    <w:abstractNumId w:val="5"/>
  </w:num>
  <w:num w:numId="16">
    <w:abstractNumId w:val="17"/>
  </w:num>
  <w:num w:numId="17">
    <w:abstractNumId w:val="0"/>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6DA"/>
    <w:rsid w:val="0000525F"/>
    <w:rsid w:val="0001046D"/>
    <w:rsid w:val="0005150A"/>
    <w:rsid w:val="00064226"/>
    <w:rsid w:val="00072CF3"/>
    <w:rsid w:val="00073F0D"/>
    <w:rsid w:val="000951B4"/>
    <w:rsid w:val="000A77B5"/>
    <w:rsid w:val="000A7B66"/>
    <w:rsid w:val="000F6CBB"/>
    <w:rsid w:val="00122625"/>
    <w:rsid w:val="00185583"/>
    <w:rsid w:val="00194B6A"/>
    <w:rsid w:val="001A0C85"/>
    <w:rsid w:val="001D3F34"/>
    <w:rsid w:val="0020315F"/>
    <w:rsid w:val="002036ED"/>
    <w:rsid w:val="00225026"/>
    <w:rsid w:val="00260D6C"/>
    <w:rsid w:val="002620E9"/>
    <w:rsid w:val="00262F92"/>
    <w:rsid w:val="00281310"/>
    <w:rsid w:val="002921DD"/>
    <w:rsid w:val="002C1F75"/>
    <w:rsid w:val="00302832"/>
    <w:rsid w:val="00343BC5"/>
    <w:rsid w:val="00346DBD"/>
    <w:rsid w:val="00367E00"/>
    <w:rsid w:val="003705BB"/>
    <w:rsid w:val="003747A5"/>
    <w:rsid w:val="003A41AE"/>
    <w:rsid w:val="003D7B9E"/>
    <w:rsid w:val="003D7F3D"/>
    <w:rsid w:val="00412952"/>
    <w:rsid w:val="00413496"/>
    <w:rsid w:val="00424DE3"/>
    <w:rsid w:val="00444048"/>
    <w:rsid w:val="0046491C"/>
    <w:rsid w:val="0048490F"/>
    <w:rsid w:val="004C76D7"/>
    <w:rsid w:val="004E7E17"/>
    <w:rsid w:val="005200EE"/>
    <w:rsid w:val="00532410"/>
    <w:rsid w:val="00575478"/>
    <w:rsid w:val="005A3267"/>
    <w:rsid w:val="005D0C3F"/>
    <w:rsid w:val="005F3760"/>
    <w:rsid w:val="00634736"/>
    <w:rsid w:val="00651380"/>
    <w:rsid w:val="006728FD"/>
    <w:rsid w:val="00673293"/>
    <w:rsid w:val="00682EF5"/>
    <w:rsid w:val="0069498B"/>
    <w:rsid w:val="006A4FA8"/>
    <w:rsid w:val="006B36D1"/>
    <w:rsid w:val="006B3E32"/>
    <w:rsid w:val="006E2606"/>
    <w:rsid w:val="00717C0D"/>
    <w:rsid w:val="0072136B"/>
    <w:rsid w:val="0076241F"/>
    <w:rsid w:val="00770016"/>
    <w:rsid w:val="00790E37"/>
    <w:rsid w:val="007A7FAD"/>
    <w:rsid w:val="007B22FF"/>
    <w:rsid w:val="007E2CF8"/>
    <w:rsid w:val="00814E97"/>
    <w:rsid w:val="008361CA"/>
    <w:rsid w:val="00850252"/>
    <w:rsid w:val="00854590"/>
    <w:rsid w:val="00856FA1"/>
    <w:rsid w:val="008822B3"/>
    <w:rsid w:val="008B03B6"/>
    <w:rsid w:val="008C2FF2"/>
    <w:rsid w:val="008D4B3A"/>
    <w:rsid w:val="008E01AC"/>
    <w:rsid w:val="008E1DCC"/>
    <w:rsid w:val="008F3E81"/>
    <w:rsid w:val="00900E75"/>
    <w:rsid w:val="00902248"/>
    <w:rsid w:val="009156AC"/>
    <w:rsid w:val="00937D7D"/>
    <w:rsid w:val="0094239C"/>
    <w:rsid w:val="009C154D"/>
    <w:rsid w:val="009C4EF6"/>
    <w:rsid w:val="00A029A4"/>
    <w:rsid w:val="00A63717"/>
    <w:rsid w:val="00A677FE"/>
    <w:rsid w:val="00A93B26"/>
    <w:rsid w:val="00AA49F3"/>
    <w:rsid w:val="00AB023D"/>
    <w:rsid w:val="00AB126B"/>
    <w:rsid w:val="00AC381E"/>
    <w:rsid w:val="00AE4797"/>
    <w:rsid w:val="00AF73BC"/>
    <w:rsid w:val="00B120CA"/>
    <w:rsid w:val="00B601AF"/>
    <w:rsid w:val="00B62486"/>
    <w:rsid w:val="00BC7B0C"/>
    <w:rsid w:val="00BF3534"/>
    <w:rsid w:val="00C27EF9"/>
    <w:rsid w:val="00C91360"/>
    <w:rsid w:val="00CE0823"/>
    <w:rsid w:val="00D24398"/>
    <w:rsid w:val="00D32E91"/>
    <w:rsid w:val="00D33AF9"/>
    <w:rsid w:val="00D363F7"/>
    <w:rsid w:val="00D72985"/>
    <w:rsid w:val="00D7508B"/>
    <w:rsid w:val="00D97434"/>
    <w:rsid w:val="00DC12EA"/>
    <w:rsid w:val="00DF6F7E"/>
    <w:rsid w:val="00E34F08"/>
    <w:rsid w:val="00E6104E"/>
    <w:rsid w:val="00E61AB8"/>
    <w:rsid w:val="00E64674"/>
    <w:rsid w:val="00E706DA"/>
    <w:rsid w:val="00E83E93"/>
    <w:rsid w:val="00E90EB5"/>
    <w:rsid w:val="00E94FBF"/>
    <w:rsid w:val="00ED2CEE"/>
    <w:rsid w:val="00ED57EE"/>
    <w:rsid w:val="00EF0C2D"/>
    <w:rsid w:val="00EF5DAC"/>
    <w:rsid w:val="00F25783"/>
    <w:rsid w:val="00F45161"/>
    <w:rsid w:val="00F46E78"/>
    <w:rsid w:val="00F857BC"/>
    <w:rsid w:val="00FF0F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CCC4B86-6235-46F3-BD8F-C40EE9AF8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91C"/>
  </w:style>
  <w:style w:type="paragraph" w:styleId="Ttulo1">
    <w:name w:val="heading 1"/>
    <w:basedOn w:val="Normal"/>
    <w:next w:val="Normal"/>
    <w:link w:val="Ttulo1Car"/>
    <w:uiPriority w:val="9"/>
    <w:qFormat/>
    <w:rsid w:val="00E83E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706D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TextonotapieCar">
    <w:name w:val="Texto nota pie Car"/>
    <w:basedOn w:val="Fuentedeprrafopredeter"/>
    <w:link w:val="Textonotapie"/>
    <w:uiPriority w:val="99"/>
    <w:rsid w:val="00E706DA"/>
    <w:rPr>
      <w:rFonts w:ascii="Times New Roman" w:eastAsia="Arial Unicode MS" w:hAnsi="Times New Roman" w:cs="Times New Roman"/>
      <w:sz w:val="20"/>
      <w:szCs w:val="20"/>
      <w:bdr w:val="nil"/>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E706DA"/>
    <w:rPr>
      <w:vertAlign w:val="superscript"/>
    </w:rPr>
  </w:style>
  <w:style w:type="paragraph" w:styleId="Piedepgina">
    <w:name w:val="footer"/>
    <w:basedOn w:val="Normal"/>
    <w:link w:val="Piedepgina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PiedepginaCar">
    <w:name w:val="Pie de página Car"/>
    <w:basedOn w:val="Fuentedeprrafopredeter"/>
    <w:link w:val="Piedepgina"/>
    <w:uiPriority w:val="99"/>
    <w:rsid w:val="00E706DA"/>
    <w:rPr>
      <w:rFonts w:ascii="Times New Roman" w:eastAsia="Arial Unicode MS" w:hAnsi="Times New Roman" w:cs="Times New Roman"/>
      <w:sz w:val="24"/>
      <w:szCs w:val="24"/>
      <w:bdr w:val="nil"/>
    </w:rPr>
  </w:style>
  <w:style w:type="paragraph" w:styleId="Encabezado">
    <w:name w:val="header"/>
    <w:basedOn w:val="Normal"/>
    <w:link w:val="Encabezado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EncabezadoCar">
    <w:name w:val="Encabezado Car"/>
    <w:basedOn w:val="Fuentedeprrafopredeter"/>
    <w:link w:val="Encabezado"/>
    <w:uiPriority w:val="99"/>
    <w:rsid w:val="00E706DA"/>
    <w:rPr>
      <w:rFonts w:ascii="Times New Roman" w:eastAsia="Arial Unicode MS" w:hAnsi="Times New Roman" w:cs="Times New Roman"/>
      <w:sz w:val="24"/>
      <w:szCs w:val="24"/>
      <w:bdr w:val="nil"/>
    </w:rPr>
  </w:style>
  <w:style w:type="table" w:styleId="Tabladecuadrcula1clara">
    <w:name w:val="Grid Table 1 Light"/>
    <w:basedOn w:val="Tablanormal"/>
    <w:uiPriority w:val="46"/>
    <w:rsid w:val="00E706DA"/>
    <w:pPr>
      <w:spacing w:after="0" w:line="240" w:lineRule="auto"/>
    </w:pPr>
    <w:rPr>
      <w:rFonts w:eastAsiaTheme="minorEastAsia"/>
      <w:sz w:val="24"/>
      <w:szCs w:val="24"/>
      <w:lang w:val="es-ES_tradnl"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E706DA"/>
    <w:pPr>
      <w:ind w:left="720"/>
      <w:contextualSpacing/>
    </w:pPr>
  </w:style>
  <w:style w:type="paragraph" w:styleId="Textodeglobo">
    <w:name w:val="Balloon Text"/>
    <w:basedOn w:val="Normal"/>
    <w:link w:val="TextodegloboCar"/>
    <w:uiPriority w:val="99"/>
    <w:semiHidden/>
    <w:unhideWhenUsed/>
    <w:rsid w:val="005A32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3267"/>
    <w:rPr>
      <w:rFonts w:ascii="Segoe UI" w:hAnsi="Segoe UI" w:cs="Segoe UI"/>
      <w:sz w:val="18"/>
      <w:szCs w:val="18"/>
    </w:rPr>
  </w:style>
  <w:style w:type="character" w:customStyle="1" w:styleId="Ttulo1Car">
    <w:name w:val="Título 1 Car"/>
    <w:basedOn w:val="Fuentedeprrafopredeter"/>
    <w:link w:val="Ttulo1"/>
    <w:uiPriority w:val="9"/>
    <w:rsid w:val="00E83E93"/>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83E93"/>
  </w:style>
  <w:style w:type="paragraph" w:styleId="TtulodeTDC">
    <w:name w:val="TOC Heading"/>
    <w:basedOn w:val="Ttulo1"/>
    <w:next w:val="Normal"/>
    <w:uiPriority w:val="39"/>
    <w:unhideWhenUsed/>
    <w:qFormat/>
    <w:rsid w:val="00E83E93"/>
    <w:pPr>
      <w:outlineLvl w:val="9"/>
    </w:pPr>
    <w:rPr>
      <w:lang w:eastAsia="es-MX"/>
    </w:rPr>
  </w:style>
  <w:style w:type="paragraph" w:styleId="TDC1">
    <w:name w:val="toc 1"/>
    <w:basedOn w:val="Normal"/>
    <w:next w:val="Normal"/>
    <w:autoRedefine/>
    <w:uiPriority w:val="39"/>
    <w:unhideWhenUsed/>
    <w:rsid w:val="00E83E93"/>
    <w:pPr>
      <w:spacing w:after="100"/>
    </w:pPr>
  </w:style>
  <w:style w:type="character" w:styleId="Hipervnculo">
    <w:name w:val="Hyperlink"/>
    <w:basedOn w:val="Fuentedeprrafopredeter"/>
    <w:uiPriority w:val="99"/>
    <w:unhideWhenUsed/>
    <w:rsid w:val="00E83E93"/>
    <w:rPr>
      <w:color w:val="0563C1" w:themeColor="hyperlink"/>
      <w:u w:val="single"/>
    </w:rPr>
  </w:style>
  <w:style w:type="paragraph" w:styleId="Sinespaciado">
    <w:name w:val="No Spacing"/>
    <w:uiPriority w:val="1"/>
    <w:qFormat/>
    <w:rsid w:val="00850252"/>
    <w:pPr>
      <w:spacing w:after="0" w:line="240" w:lineRule="auto"/>
    </w:pPr>
  </w:style>
  <w:style w:type="character" w:customStyle="1" w:styleId="apple-converted-space">
    <w:name w:val="apple-converted-space"/>
    <w:basedOn w:val="Fuentedeprrafopredeter"/>
    <w:rsid w:val="0046491C"/>
  </w:style>
  <w:style w:type="table" w:styleId="Tablaconcuadrcula">
    <w:name w:val="Table Grid"/>
    <w:basedOn w:val="Tablanormal"/>
    <w:uiPriority w:val="59"/>
    <w:rsid w:val="00AE4797"/>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5F3760"/>
    <w:pPr>
      <w:spacing w:after="120"/>
    </w:pPr>
  </w:style>
  <w:style w:type="character" w:customStyle="1" w:styleId="TextoindependienteCar">
    <w:name w:val="Texto independiente Car"/>
    <w:basedOn w:val="Fuentedeprrafopredeter"/>
    <w:link w:val="Textoindependiente"/>
    <w:uiPriority w:val="99"/>
    <w:semiHidden/>
    <w:rsid w:val="005F37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597636">
      <w:bodyDiv w:val="1"/>
      <w:marLeft w:val="0"/>
      <w:marRight w:val="0"/>
      <w:marTop w:val="0"/>
      <w:marBottom w:val="0"/>
      <w:divBdr>
        <w:top w:val="none" w:sz="0" w:space="0" w:color="auto"/>
        <w:left w:val="none" w:sz="0" w:space="0" w:color="auto"/>
        <w:bottom w:val="none" w:sz="0" w:space="0" w:color="auto"/>
        <w:right w:val="none" w:sz="0" w:space="0" w:color="auto"/>
      </w:divBdr>
    </w:div>
    <w:div w:id="1070806924">
      <w:bodyDiv w:val="1"/>
      <w:marLeft w:val="0"/>
      <w:marRight w:val="0"/>
      <w:marTop w:val="0"/>
      <w:marBottom w:val="0"/>
      <w:divBdr>
        <w:top w:val="none" w:sz="0" w:space="0" w:color="auto"/>
        <w:left w:val="none" w:sz="0" w:space="0" w:color="auto"/>
        <w:bottom w:val="none" w:sz="0" w:space="0" w:color="auto"/>
        <w:right w:val="none" w:sz="0" w:space="0" w:color="auto"/>
      </w:divBdr>
    </w:div>
    <w:div w:id="1175801935">
      <w:bodyDiv w:val="1"/>
      <w:marLeft w:val="0"/>
      <w:marRight w:val="0"/>
      <w:marTop w:val="0"/>
      <w:marBottom w:val="0"/>
      <w:divBdr>
        <w:top w:val="none" w:sz="0" w:space="0" w:color="auto"/>
        <w:left w:val="none" w:sz="0" w:space="0" w:color="auto"/>
        <w:bottom w:val="none" w:sz="0" w:space="0" w:color="auto"/>
        <w:right w:val="none" w:sz="0" w:space="0" w:color="auto"/>
      </w:divBdr>
    </w:div>
    <w:div w:id="1482192602">
      <w:bodyDiv w:val="1"/>
      <w:marLeft w:val="0"/>
      <w:marRight w:val="0"/>
      <w:marTop w:val="0"/>
      <w:marBottom w:val="0"/>
      <w:divBdr>
        <w:top w:val="none" w:sz="0" w:space="0" w:color="auto"/>
        <w:left w:val="none" w:sz="0" w:space="0" w:color="auto"/>
        <w:bottom w:val="none" w:sz="0" w:space="0" w:color="auto"/>
        <w:right w:val="none" w:sz="0" w:space="0" w:color="auto"/>
      </w:divBdr>
    </w:div>
    <w:div w:id="202535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593954.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aimex.org.mx/saimex/solicitud/downloadAttach/593972.page" TargetMode="External"/><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CC170E-7265-4EC0-8827-92F140CAB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18</Pages>
  <Words>3836</Words>
  <Characters>21099</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Windows User</cp:lastModifiedBy>
  <cp:revision>3</cp:revision>
  <cp:lastPrinted>2019-01-14T21:47:00Z</cp:lastPrinted>
  <dcterms:created xsi:type="dcterms:W3CDTF">2019-01-14T21:30:00Z</dcterms:created>
  <dcterms:modified xsi:type="dcterms:W3CDTF">2019-01-14T22:55:00Z</dcterms:modified>
</cp:coreProperties>
</file>